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42139" w14:textId="77777777" w:rsidR="0045678D" w:rsidRPr="008D78DF" w:rsidRDefault="0045678D" w:rsidP="0045678D">
      <w:r w:rsidRPr="008D78DF">
        <w:rPr>
          <w:noProof/>
          <w:lang w:eastAsia="en-NZ"/>
        </w:rPr>
        <w:drawing>
          <wp:inline distT="0" distB="0" distL="0" distR="0" wp14:anchorId="3B35B4A3" wp14:editId="165FA955">
            <wp:extent cx="3105148" cy="50458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PC Logo.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7980" cy="521296"/>
                    </a:xfrm>
                    <a:prstGeom prst="rect">
                      <a:avLst/>
                    </a:prstGeom>
                  </pic:spPr>
                </pic:pic>
              </a:graphicData>
            </a:graphic>
          </wp:inline>
        </w:drawing>
      </w:r>
    </w:p>
    <w:p w14:paraId="3D5B4EF7" w14:textId="77777777" w:rsidR="0045678D" w:rsidRPr="008D78DF" w:rsidRDefault="0045678D" w:rsidP="0045678D"/>
    <w:p w14:paraId="72F1299A" w14:textId="77777777" w:rsidR="0045678D" w:rsidRPr="008D78DF" w:rsidRDefault="0045678D" w:rsidP="0045678D"/>
    <w:p w14:paraId="28D5EAEA" w14:textId="77777777" w:rsidR="0045678D" w:rsidRPr="008D78DF" w:rsidRDefault="0045678D" w:rsidP="0045678D"/>
    <w:p w14:paraId="31A1D120" w14:textId="77777777" w:rsidR="0045678D" w:rsidRPr="008D78DF" w:rsidRDefault="0045678D" w:rsidP="0045678D"/>
    <w:p w14:paraId="27E0825B" w14:textId="77777777" w:rsidR="0045678D" w:rsidRPr="008D78DF" w:rsidRDefault="0045678D" w:rsidP="0045678D"/>
    <w:p w14:paraId="6AF5ACB4" w14:textId="77777777" w:rsidR="0045678D" w:rsidRPr="0045678D" w:rsidRDefault="0045678D" w:rsidP="0045678D">
      <w:pPr>
        <w:pBdr>
          <w:left w:val="single" w:sz="4" w:space="4" w:color="auto"/>
        </w:pBdr>
        <w:spacing w:after="0" w:line="240" w:lineRule="auto"/>
        <w:contextualSpacing/>
        <w:rPr>
          <w:rFonts w:asciiTheme="majorHAnsi" w:eastAsiaTheme="majorEastAsia" w:hAnsiTheme="majorHAnsi" w:cstheme="majorBidi"/>
          <w:spacing w:val="-10"/>
          <w:kern w:val="28"/>
          <w:sz w:val="56"/>
          <w:szCs w:val="56"/>
          <w:lang w:val="en-US"/>
        </w:rPr>
      </w:pPr>
      <w:r>
        <w:rPr>
          <w:rFonts w:asciiTheme="majorHAnsi" w:eastAsiaTheme="majorEastAsia" w:hAnsiTheme="majorHAnsi" w:cstheme="majorBidi"/>
          <w:spacing w:val="-10"/>
          <w:kern w:val="28"/>
          <w:sz w:val="56"/>
          <w:szCs w:val="56"/>
          <w:lang w:val="en-US"/>
        </w:rPr>
        <w:t>Progress in measuring wellbeing in New Zealand</w:t>
      </w:r>
    </w:p>
    <w:p w14:paraId="6DEF78D0" w14:textId="77777777" w:rsidR="0045678D" w:rsidRPr="00333F3F" w:rsidRDefault="0045678D" w:rsidP="0045678D">
      <w:pPr>
        <w:rPr>
          <w:rFonts w:asciiTheme="majorHAnsi" w:hAnsiTheme="majorHAnsi"/>
          <w:sz w:val="40"/>
          <w:szCs w:val="40"/>
        </w:rPr>
      </w:pPr>
      <w:r>
        <w:rPr>
          <w:rFonts w:asciiTheme="majorHAnsi" w:hAnsiTheme="majorHAnsi"/>
          <w:sz w:val="40"/>
          <w:szCs w:val="40"/>
        </w:rPr>
        <w:t>Final Report</w:t>
      </w:r>
    </w:p>
    <w:p w14:paraId="16FAB47B" w14:textId="77777777" w:rsidR="0045678D" w:rsidRPr="0045678D" w:rsidRDefault="0045678D" w:rsidP="0045678D">
      <w:pPr>
        <w:rPr>
          <w:rFonts w:asciiTheme="majorHAnsi" w:hAnsiTheme="majorHAnsi"/>
          <w:sz w:val="40"/>
          <w:szCs w:val="40"/>
        </w:rPr>
      </w:pPr>
      <w:r w:rsidRPr="0045678D">
        <w:rPr>
          <w:rFonts w:asciiTheme="majorHAnsi" w:hAnsiTheme="majorHAnsi"/>
          <w:sz w:val="40"/>
          <w:szCs w:val="40"/>
        </w:rPr>
        <w:t>FHES Summer Research Awards 2015/2016</w:t>
      </w:r>
    </w:p>
    <w:p w14:paraId="2AEAA255" w14:textId="77777777" w:rsidR="0045678D" w:rsidRPr="00333F3F" w:rsidRDefault="0045678D" w:rsidP="0045678D">
      <w:pPr>
        <w:rPr>
          <w:rFonts w:asciiTheme="majorHAnsi" w:hAnsiTheme="majorHAnsi"/>
        </w:rPr>
      </w:pPr>
    </w:p>
    <w:p w14:paraId="066273F2" w14:textId="77777777" w:rsidR="0045678D" w:rsidRPr="00333F3F" w:rsidRDefault="0045678D" w:rsidP="0045678D">
      <w:pPr>
        <w:rPr>
          <w:rFonts w:asciiTheme="majorHAnsi" w:hAnsiTheme="majorHAnsi"/>
        </w:rPr>
      </w:pPr>
      <w:bookmarkStart w:id="0" w:name="_GoBack"/>
      <w:bookmarkEnd w:id="0"/>
    </w:p>
    <w:p w14:paraId="0A06AEF5" w14:textId="77777777" w:rsidR="0045678D" w:rsidRDefault="0045678D" w:rsidP="0045678D">
      <w:pPr>
        <w:rPr>
          <w:rFonts w:asciiTheme="majorHAnsi" w:hAnsiTheme="majorHAnsi"/>
        </w:rPr>
      </w:pPr>
    </w:p>
    <w:p w14:paraId="3D72AEA4" w14:textId="77777777" w:rsidR="0045678D" w:rsidRDefault="0045678D" w:rsidP="0045678D">
      <w:pPr>
        <w:rPr>
          <w:rFonts w:asciiTheme="majorHAnsi" w:hAnsiTheme="majorHAnsi"/>
        </w:rPr>
      </w:pPr>
    </w:p>
    <w:p w14:paraId="73A2A7E9" w14:textId="77777777" w:rsidR="0045678D" w:rsidRPr="00333F3F" w:rsidRDefault="0045678D" w:rsidP="0045678D">
      <w:pPr>
        <w:rPr>
          <w:rFonts w:asciiTheme="majorHAnsi" w:hAnsiTheme="majorHAnsi"/>
        </w:rPr>
      </w:pPr>
    </w:p>
    <w:p w14:paraId="421089C9" w14:textId="206CDA0D" w:rsidR="0045678D" w:rsidRPr="0045678D" w:rsidRDefault="00E113EF" w:rsidP="0045678D">
      <w:pPr>
        <w:rPr>
          <w:rFonts w:asciiTheme="majorHAnsi" w:hAnsiTheme="majorHAnsi"/>
          <w:sz w:val="28"/>
          <w:szCs w:val="40"/>
        </w:rPr>
      </w:pPr>
      <w:r>
        <w:rPr>
          <w:rFonts w:asciiTheme="majorHAnsi" w:hAnsiTheme="majorHAnsi"/>
          <w:sz w:val="28"/>
          <w:szCs w:val="40"/>
        </w:rPr>
        <w:t>Prepared by</w:t>
      </w:r>
      <w:r w:rsidR="0045678D" w:rsidRPr="0045678D">
        <w:rPr>
          <w:rFonts w:asciiTheme="majorHAnsi" w:hAnsiTheme="majorHAnsi"/>
          <w:sz w:val="28"/>
          <w:szCs w:val="40"/>
        </w:rPr>
        <w:t>:</w:t>
      </w:r>
      <w:r w:rsidR="0045678D" w:rsidRPr="0045678D">
        <w:rPr>
          <w:rFonts w:asciiTheme="majorHAnsi" w:hAnsiTheme="majorHAnsi"/>
          <w:sz w:val="28"/>
          <w:szCs w:val="40"/>
        </w:rPr>
        <w:tab/>
        <w:t>Chloe Muir</w:t>
      </w:r>
      <w:r>
        <w:rPr>
          <w:rFonts w:asciiTheme="majorHAnsi" w:hAnsiTheme="majorHAnsi"/>
          <w:sz w:val="28"/>
          <w:szCs w:val="40"/>
        </w:rPr>
        <w:t xml:space="preserve"> </w:t>
      </w:r>
      <w:r w:rsidR="009F0F67">
        <w:rPr>
          <w:rFonts w:asciiTheme="majorHAnsi" w:hAnsiTheme="majorHAnsi"/>
          <w:sz w:val="28"/>
          <w:szCs w:val="40"/>
        </w:rPr>
        <w:t>(Student id: 1250318)</w:t>
      </w:r>
    </w:p>
    <w:p w14:paraId="0F82AC7A" w14:textId="77777777" w:rsidR="0045678D" w:rsidRPr="0045678D" w:rsidRDefault="0045678D" w:rsidP="0045678D">
      <w:pPr>
        <w:rPr>
          <w:rFonts w:asciiTheme="majorHAnsi" w:hAnsiTheme="majorHAnsi"/>
          <w:sz w:val="28"/>
          <w:szCs w:val="40"/>
        </w:rPr>
      </w:pPr>
      <w:r w:rsidRPr="0045678D">
        <w:rPr>
          <w:rFonts w:asciiTheme="majorHAnsi" w:hAnsiTheme="majorHAnsi"/>
          <w:sz w:val="28"/>
          <w:szCs w:val="40"/>
        </w:rPr>
        <w:t>Supervisors:</w:t>
      </w:r>
      <w:r w:rsidRPr="0045678D">
        <w:rPr>
          <w:rFonts w:asciiTheme="majorHAnsi" w:hAnsiTheme="majorHAnsi"/>
          <w:sz w:val="28"/>
          <w:szCs w:val="40"/>
        </w:rPr>
        <w:tab/>
      </w:r>
      <w:r>
        <w:rPr>
          <w:rFonts w:asciiTheme="majorHAnsi" w:hAnsiTheme="majorHAnsi"/>
          <w:sz w:val="28"/>
          <w:szCs w:val="40"/>
        </w:rPr>
        <w:tab/>
      </w:r>
      <w:r w:rsidRPr="0045678D">
        <w:rPr>
          <w:rFonts w:asciiTheme="majorHAnsi" w:hAnsiTheme="majorHAnsi"/>
          <w:sz w:val="28"/>
          <w:szCs w:val="40"/>
        </w:rPr>
        <w:t>Dr Lisa Mackay, Professor Grant Schofield &amp; Dr Aaron Jarden</w:t>
      </w:r>
    </w:p>
    <w:p w14:paraId="231F9099" w14:textId="77777777" w:rsidR="00796C08" w:rsidRPr="00DD0144" w:rsidRDefault="00796C08" w:rsidP="008678E1">
      <w:r w:rsidRPr="00DD0144">
        <w:rPr>
          <w:noProof/>
          <w:lang w:eastAsia="en-NZ"/>
        </w:rPr>
        <w:drawing>
          <wp:anchor distT="0" distB="0" distL="114300" distR="114300" simplePos="0" relativeHeight="251662336" behindDoc="0" locked="1" layoutInCell="1" allowOverlap="0" wp14:anchorId="6EEFECBB" wp14:editId="0559AD62">
            <wp:simplePos x="0" y="0"/>
            <wp:positionH relativeFrom="page">
              <wp:posOffset>5562600</wp:posOffset>
            </wp:positionH>
            <wp:positionV relativeFrom="page">
              <wp:posOffset>9072880</wp:posOffset>
            </wp:positionV>
            <wp:extent cx="1188000" cy="810000"/>
            <wp:effectExtent l="0" t="0" r="0" b="952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188000" cy="810000"/>
                    </a:xfrm>
                    <a:prstGeom prst="rect">
                      <a:avLst/>
                    </a:prstGeom>
                  </pic:spPr>
                </pic:pic>
              </a:graphicData>
            </a:graphic>
            <wp14:sizeRelH relativeFrom="margin">
              <wp14:pctWidth>0</wp14:pctWidth>
            </wp14:sizeRelH>
            <wp14:sizeRelV relativeFrom="margin">
              <wp14:pctHeight>0</wp14:pctHeight>
            </wp14:sizeRelV>
          </wp:anchor>
        </w:drawing>
      </w:r>
      <w:r w:rsidRPr="00DD0144">
        <w:br w:type="page"/>
      </w:r>
    </w:p>
    <w:p w14:paraId="0CFB13FA" w14:textId="77777777" w:rsidR="00FD4A86" w:rsidRDefault="00FD4A86">
      <w:pPr>
        <w:pStyle w:val="TOC1"/>
        <w:tabs>
          <w:tab w:val="right" w:leader="dot" w:pos="9016"/>
        </w:tabs>
        <w:rPr>
          <w:rFonts w:ascii="Arial" w:eastAsia="+mn-ea" w:hAnsi="Arial" w:cs="Arial"/>
          <w:b w:val="0"/>
          <w:color w:val="746340"/>
          <w:kern w:val="24"/>
          <w:sz w:val="40"/>
          <w:szCs w:val="40"/>
          <w:lang w:val="en-NZ"/>
        </w:rPr>
      </w:pPr>
      <w:r w:rsidRPr="00FD4A86">
        <w:rPr>
          <w:rFonts w:ascii="Arial" w:eastAsia="+mn-ea" w:hAnsi="Arial" w:cs="Arial"/>
          <w:b w:val="0"/>
          <w:color w:val="746340"/>
          <w:kern w:val="24"/>
          <w:sz w:val="40"/>
          <w:szCs w:val="40"/>
          <w:lang w:val="en-NZ"/>
        </w:rPr>
        <w:lastRenderedPageBreak/>
        <w:t>Table of Contents</w:t>
      </w:r>
    </w:p>
    <w:p w14:paraId="173A21DC" w14:textId="77777777" w:rsidR="0058344B" w:rsidRPr="0058344B" w:rsidRDefault="0058344B" w:rsidP="0058344B"/>
    <w:p w14:paraId="0FC1D9BE" w14:textId="77777777" w:rsidR="00FE0C3D" w:rsidRDefault="00FD4A86">
      <w:pPr>
        <w:pStyle w:val="TOC1"/>
        <w:tabs>
          <w:tab w:val="right" w:leader="dot" w:pos="9016"/>
        </w:tabs>
        <w:rPr>
          <w:rFonts w:cstheme="minorBidi"/>
          <w:b w:val="0"/>
          <w:noProof/>
          <w:sz w:val="22"/>
          <w:lang w:val="en-NZ" w:eastAsia="en-NZ"/>
        </w:rPr>
      </w:pPr>
      <w:r w:rsidRPr="0063310E">
        <w:rPr>
          <w:rFonts w:ascii="Arial" w:hAnsi="Arial" w:cs="Arial"/>
          <w:b w:val="0"/>
        </w:rPr>
        <w:fldChar w:fldCharType="begin"/>
      </w:r>
      <w:r w:rsidRPr="0063310E">
        <w:rPr>
          <w:rFonts w:ascii="Arial" w:hAnsi="Arial" w:cs="Arial"/>
          <w:b w:val="0"/>
        </w:rPr>
        <w:instrText xml:space="preserve"> TOC \o "1-2" \h \z \u </w:instrText>
      </w:r>
      <w:r w:rsidRPr="0063310E">
        <w:rPr>
          <w:rFonts w:ascii="Arial" w:hAnsi="Arial" w:cs="Arial"/>
          <w:b w:val="0"/>
        </w:rPr>
        <w:fldChar w:fldCharType="separate"/>
      </w:r>
      <w:hyperlink w:anchor="_Toc444603284" w:history="1">
        <w:r w:rsidR="00FE0C3D" w:rsidRPr="00D91AFE">
          <w:rPr>
            <w:rStyle w:val="Hyperlink"/>
            <w:noProof/>
          </w:rPr>
          <w:t>Introduction</w:t>
        </w:r>
        <w:r w:rsidR="00FE0C3D">
          <w:rPr>
            <w:noProof/>
            <w:webHidden/>
          </w:rPr>
          <w:tab/>
        </w:r>
        <w:r w:rsidR="00FE0C3D">
          <w:rPr>
            <w:noProof/>
            <w:webHidden/>
          </w:rPr>
          <w:fldChar w:fldCharType="begin"/>
        </w:r>
        <w:r w:rsidR="00FE0C3D">
          <w:rPr>
            <w:noProof/>
            <w:webHidden/>
          </w:rPr>
          <w:instrText xml:space="preserve"> PAGEREF _Toc444603284 \h </w:instrText>
        </w:r>
        <w:r w:rsidR="00FE0C3D">
          <w:rPr>
            <w:noProof/>
            <w:webHidden/>
          </w:rPr>
        </w:r>
        <w:r w:rsidR="00FE0C3D">
          <w:rPr>
            <w:noProof/>
            <w:webHidden/>
          </w:rPr>
          <w:fldChar w:fldCharType="separate"/>
        </w:r>
        <w:r w:rsidR="00FE0C3D">
          <w:rPr>
            <w:noProof/>
            <w:webHidden/>
          </w:rPr>
          <w:t>11</w:t>
        </w:r>
        <w:r w:rsidR="00FE0C3D">
          <w:rPr>
            <w:noProof/>
            <w:webHidden/>
          </w:rPr>
          <w:fldChar w:fldCharType="end"/>
        </w:r>
      </w:hyperlink>
    </w:p>
    <w:p w14:paraId="1ACB17FB" w14:textId="77777777" w:rsidR="00FE0C3D" w:rsidRDefault="00E21A5F">
      <w:pPr>
        <w:pStyle w:val="TOC1"/>
        <w:tabs>
          <w:tab w:val="right" w:leader="dot" w:pos="9016"/>
        </w:tabs>
        <w:rPr>
          <w:rFonts w:cstheme="minorBidi"/>
          <w:b w:val="0"/>
          <w:noProof/>
          <w:sz w:val="22"/>
          <w:lang w:val="en-NZ" w:eastAsia="en-NZ"/>
        </w:rPr>
      </w:pPr>
      <w:hyperlink w:anchor="_Toc444603285" w:history="1">
        <w:r w:rsidR="00FE0C3D" w:rsidRPr="00D91AFE">
          <w:rPr>
            <w:rStyle w:val="Hyperlink"/>
            <w:noProof/>
          </w:rPr>
          <w:t>Section 1: Student Reflections</w:t>
        </w:r>
        <w:r w:rsidR="00FE0C3D">
          <w:rPr>
            <w:noProof/>
            <w:webHidden/>
          </w:rPr>
          <w:tab/>
        </w:r>
        <w:r w:rsidR="00FE0C3D">
          <w:rPr>
            <w:noProof/>
            <w:webHidden/>
          </w:rPr>
          <w:fldChar w:fldCharType="begin"/>
        </w:r>
        <w:r w:rsidR="00FE0C3D">
          <w:rPr>
            <w:noProof/>
            <w:webHidden/>
          </w:rPr>
          <w:instrText xml:space="preserve"> PAGEREF _Toc444603285 \h </w:instrText>
        </w:r>
        <w:r w:rsidR="00FE0C3D">
          <w:rPr>
            <w:noProof/>
            <w:webHidden/>
          </w:rPr>
        </w:r>
        <w:r w:rsidR="00FE0C3D">
          <w:rPr>
            <w:noProof/>
            <w:webHidden/>
          </w:rPr>
          <w:fldChar w:fldCharType="separate"/>
        </w:r>
        <w:r w:rsidR="00FE0C3D">
          <w:rPr>
            <w:noProof/>
            <w:webHidden/>
          </w:rPr>
          <w:t>12</w:t>
        </w:r>
        <w:r w:rsidR="00FE0C3D">
          <w:rPr>
            <w:noProof/>
            <w:webHidden/>
          </w:rPr>
          <w:fldChar w:fldCharType="end"/>
        </w:r>
      </w:hyperlink>
    </w:p>
    <w:p w14:paraId="7C63B65F" w14:textId="77777777" w:rsidR="00FE0C3D" w:rsidRDefault="00E21A5F">
      <w:pPr>
        <w:pStyle w:val="TOC1"/>
        <w:tabs>
          <w:tab w:val="right" w:leader="dot" w:pos="9016"/>
        </w:tabs>
        <w:rPr>
          <w:rFonts w:cstheme="minorBidi"/>
          <w:b w:val="0"/>
          <w:noProof/>
          <w:sz w:val="22"/>
          <w:lang w:val="en-NZ" w:eastAsia="en-NZ"/>
        </w:rPr>
      </w:pPr>
      <w:hyperlink w:anchor="_Toc444603286" w:history="1">
        <w:r w:rsidR="00FE0C3D" w:rsidRPr="00D91AFE">
          <w:rPr>
            <w:rStyle w:val="Hyperlink"/>
            <w:noProof/>
          </w:rPr>
          <w:t>Section 2: Final Report</w:t>
        </w:r>
        <w:r w:rsidR="00FE0C3D">
          <w:rPr>
            <w:noProof/>
            <w:webHidden/>
          </w:rPr>
          <w:tab/>
        </w:r>
        <w:r w:rsidR="00FE0C3D">
          <w:rPr>
            <w:noProof/>
            <w:webHidden/>
          </w:rPr>
          <w:fldChar w:fldCharType="begin"/>
        </w:r>
        <w:r w:rsidR="00FE0C3D">
          <w:rPr>
            <w:noProof/>
            <w:webHidden/>
          </w:rPr>
          <w:instrText xml:space="preserve"> PAGEREF _Toc444603286 \h </w:instrText>
        </w:r>
        <w:r w:rsidR="00FE0C3D">
          <w:rPr>
            <w:noProof/>
            <w:webHidden/>
          </w:rPr>
        </w:r>
        <w:r w:rsidR="00FE0C3D">
          <w:rPr>
            <w:noProof/>
            <w:webHidden/>
          </w:rPr>
          <w:fldChar w:fldCharType="separate"/>
        </w:r>
        <w:r w:rsidR="00FE0C3D">
          <w:rPr>
            <w:noProof/>
            <w:webHidden/>
          </w:rPr>
          <w:t>14</w:t>
        </w:r>
        <w:r w:rsidR="00FE0C3D">
          <w:rPr>
            <w:noProof/>
            <w:webHidden/>
          </w:rPr>
          <w:fldChar w:fldCharType="end"/>
        </w:r>
      </w:hyperlink>
    </w:p>
    <w:p w14:paraId="18585193" w14:textId="77777777" w:rsidR="00FE0C3D" w:rsidRDefault="00E21A5F">
      <w:pPr>
        <w:pStyle w:val="TOC2"/>
        <w:tabs>
          <w:tab w:val="right" w:leader="dot" w:pos="9016"/>
        </w:tabs>
        <w:rPr>
          <w:rFonts w:cstheme="minorBidi"/>
          <w:noProof/>
          <w:sz w:val="22"/>
          <w:lang w:val="en-NZ" w:eastAsia="en-NZ"/>
        </w:rPr>
      </w:pPr>
      <w:hyperlink w:anchor="_Toc444603287" w:history="1">
        <w:r w:rsidR="00FE0C3D" w:rsidRPr="00D91AFE">
          <w:rPr>
            <w:rStyle w:val="Hyperlink"/>
            <w:noProof/>
          </w:rPr>
          <w:t>Background</w:t>
        </w:r>
        <w:r w:rsidR="00FE0C3D">
          <w:rPr>
            <w:noProof/>
            <w:webHidden/>
          </w:rPr>
          <w:tab/>
        </w:r>
        <w:r w:rsidR="00FE0C3D">
          <w:rPr>
            <w:noProof/>
            <w:webHidden/>
          </w:rPr>
          <w:fldChar w:fldCharType="begin"/>
        </w:r>
        <w:r w:rsidR="00FE0C3D">
          <w:rPr>
            <w:noProof/>
            <w:webHidden/>
          </w:rPr>
          <w:instrText xml:space="preserve"> PAGEREF _Toc444603287 \h </w:instrText>
        </w:r>
        <w:r w:rsidR="00FE0C3D">
          <w:rPr>
            <w:noProof/>
            <w:webHidden/>
          </w:rPr>
        </w:r>
        <w:r w:rsidR="00FE0C3D">
          <w:rPr>
            <w:noProof/>
            <w:webHidden/>
          </w:rPr>
          <w:fldChar w:fldCharType="separate"/>
        </w:r>
        <w:r w:rsidR="00FE0C3D">
          <w:rPr>
            <w:noProof/>
            <w:webHidden/>
          </w:rPr>
          <w:t>14</w:t>
        </w:r>
        <w:r w:rsidR="00FE0C3D">
          <w:rPr>
            <w:noProof/>
            <w:webHidden/>
          </w:rPr>
          <w:fldChar w:fldCharType="end"/>
        </w:r>
      </w:hyperlink>
    </w:p>
    <w:p w14:paraId="0F3E4002" w14:textId="77777777" w:rsidR="00FE0C3D" w:rsidRDefault="00E21A5F">
      <w:pPr>
        <w:pStyle w:val="TOC2"/>
        <w:tabs>
          <w:tab w:val="right" w:leader="dot" w:pos="9016"/>
        </w:tabs>
        <w:rPr>
          <w:rFonts w:cstheme="minorBidi"/>
          <w:noProof/>
          <w:sz w:val="22"/>
          <w:lang w:val="en-NZ" w:eastAsia="en-NZ"/>
        </w:rPr>
      </w:pPr>
      <w:hyperlink w:anchor="_Toc444603288" w:history="1">
        <w:r w:rsidR="00FE0C3D" w:rsidRPr="00D91AFE">
          <w:rPr>
            <w:rStyle w:val="Hyperlink"/>
            <w:noProof/>
          </w:rPr>
          <w:t>Methods and procedures</w:t>
        </w:r>
        <w:r w:rsidR="00FE0C3D">
          <w:rPr>
            <w:noProof/>
            <w:webHidden/>
          </w:rPr>
          <w:tab/>
        </w:r>
        <w:r w:rsidR="00FE0C3D">
          <w:rPr>
            <w:noProof/>
            <w:webHidden/>
          </w:rPr>
          <w:fldChar w:fldCharType="begin"/>
        </w:r>
        <w:r w:rsidR="00FE0C3D">
          <w:rPr>
            <w:noProof/>
            <w:webHidden/>
          </w:rPr>
          <w:instrText xml:space="preserve"> PAGEREF _Toc444603288 \h </w:instrText>
        </w:r>
        <w:r w:rsidR="00FE0C3D">
          <w:rPr>
            <w:noProof/>
            <w:webHidden/>
          </w:rPr>
        </w:r>
        <w:r w:rsidR="00FE0C3D">
          <w:rPr>
            <w:noProof/>
            <w:webHidden/>
          </w:rPr>
          <w:fldChar w:fldCharType="separate"/>
        </w:r>
        <w:r w:rsidR="00FE0C3D">
          <w:rPr>
            <w:noProof/>
            <w:webHidden/>
          </w:rPr>
          <w:t>20</w:t>
        </w:r>
        <w:r w:rsidR="00FE0C3D">
          <w:rPr>
            <w:noProof/>
            <w:webHidden/>
          </w:rPr>
          <w:fldChar w:fldCharType="end"/>
        </w:r>
      </w:hyperlink>
    </w:p>
    <w:p w14:paraId="622A4AC4" w14:textId="77777777" w:rsidR="00FE0C3D" w:rsidRDefault="00E21A5F">
      <w:pPr>
        <w:pStyle w:val="TOC2"/>
        <w:tabs>
          <w:tab w:val="right" w:leader="dot" w:pos="9016"/>
        </w:tabs>
        <w:rPr>
          <w:rFonts w:cstheme="minorBidi"/>
          <w:noProof/>
          <w:sz w:val="22"/>
          <w:lang w:val="en-NZ" w:eastAsia="en-NZ"/>
        </w:rPr>
      </w:pPr>
      <w:hyperlink w:anchor="_Toc444603289" w:history="1">
        <w:r w:rsidR="00FE0C3D" w:rsidRPr="00D91AFE">
          <w:rPr>
            <w:rStyle w:val="Hyperlink"/>
            <w:noProof/>
          </w:rPr>
          <w:t>Results</w:t>
        </w:r>
        <w:r w:rsidR="00FE0C3D">
          <w:rPr>
            <w:noProof/>
            <w:webHidden/>
          </w:rPr>
          <w:tab/>
        </w:r>
        <w:r w:rsidR="00FE0C3D">
          <w:rPr>
            <w:noProof/>
            <w:webHidden/>
          </w:rPr>
          <w:fldChar w:fldCharType="begin"/>
        </w:r>
        <w:r w:rsidR="00FE0C3D">
          <w:rPr>
            <w:noProof/>
            <w:webHidden/>
          </w:rPr>
          <w:instrText xml:space="preserve"> PAGEREF _Toc444603289 \h </w:instrText>
        </w:r>
        <w:r w:rsidR="00FE0C3D">
          <w:rPr>
            <w:noProof/>
            <w:webHidden/>
          </w:rPr>
        </w:r>
        <w:r w:rsidR="00FE0C3D">
          <w:rPr>
            <w:noProof/>
            <w:webHidden/>
          </w:rPr>
          <w:fldChar w:fldCharType="separate"/>
        </w:r>
        <w:r w:rsidR="00FE0C3D">
          <w:rPr>
            <w:noProof/>
            <w:webHidden/>
          </w:rPr>
          <w:t>20</w:t>
        </w:r>
        <w:r w:rsidR="00FE0C3D">
          <w:rPr>
            <w:noProof/>
            <w:webHidden/>
          </w:rPr>
          <w:fldChar w:fldCharType="end"/>
        </w:r>
      </w:hyperlink>
    </w:p>
    <w:p w14:paraId="0B832A55" w14:textId="77777777" w:rsidR="00FE0C3D" w:rsidRDefault="00E21A5F">
      <w:pPr>
        <w:pStyle w:val="TOC2"/>
        <w:tabs>
          <w:tab w:val="right" w:leader="dot" w:pos="9016"/>
        </w:tabs>
        <w:rPr>
          <w:rFonts w:cstheme="minorBidi"/>
          <w:noProof/>
          <w:sz w:val="22"/>
          <w:lang w:val="en-NZ" w:eastAsia="en-NZ"/>
        </w:rPr>
      </w:pPr>
      <w:hyperlink w:anchor="_Toc444603290" w:history="1">
        <w:r w:rsidR="00FE0C3D" w:rsidRPr="00D91AFE">
          <w:rPr>
            <w:rStyle w:val="Hyperlink"/>
            <w:noProof/>
          </w:rPr>
          <w:t>Findings</w:t>
        </w:r>
        <w:r w:rsidR="00FE0C3D">
          <w:rPr>
            <w:noProof/>
            <w:webHidden/>
          </w:rPr>
          <w:tab/>
        </w:r>
        <w:r w:rsidR="00FE0C3D">
          <w:rPr>
            <w:noProof/>
            <w:webHidden/>
          </w:rPr>
          <w:fldChar w:fldCharType="begin"/>
        </w:r>
        <w:r w:rsidR="00FE0C3D">
          <w:rPr>
            <w:noProof/>
            <w:webHidden/>
          </w:rPr>
          <w:instrText xml:space="preserve"> PAGEREF _Toc444603290 \h </w:instrText>
        </w:r>
        <w:r w:rsidR="00FE0C3D">
          <w:rPr>
            <w:noProof/>
            <w:webHidden/>
          </w:rPr>
        </w:r>
        <w:r w:rsidR="00FE0C3D">
          <w:rPr>
            <w:noProof/>
            <w:webHidden/>
          </w:rPr>
          <w:fldChar w:fldCharType="separate"/>
        </w:r>
        <w:r w:rsidR="00FE0C3D">
          <w:rPr>
            <w:noProof/>
            <w:webHidden/>
          </w:rPr>
          <w:t>19</w:t>
        </w:r>
        <w:r w:rsidR="00FE0C3D">
          <w:rPr>
            <w:noProof/>
            <w:webHidden/>
          </w:rPr>
          <w:fldChar w:fldCharType="end"/>
        </w:r>
      </w:hyperlink>
    </w:p>
    <w:p w14:paraId="41FBAC49" w14:textId="77777777" w:rsidR="00FE0C3D" w:rsidRDefault="00E21A5F">
      <w:pPr>
        <w:pStyle w:val="TOC2"/>
        <w:tabs>
          <w:tab w:val="right" w:leader="dot" w:pos="9016"/>
        </w:tabs>
        <w:rPr>
          <w:rFonts w:cstheme="minorBidi"/>
          <w:noProof/>
          <w:sz w:val="22"/>
          <w:lang w:val="en-NZ" w:eastAsia="en-NZ"/>
        </w:rPr>
      </w:pPr>
      <w:hyperlink w:anchor="_Toc444603291" w:history="1">
        <w:r w:rsidR="00FE0C3D" w:rsidRPr="00D91AFE">
          <w:rPr>
            <w:rStyle w:val="Hyperlink"/>
            <w:noProof/>
          </w:rPr>
          <w:t>Towards an understanding of wellbeing in New Zealand</w:t>
        </w:r>
        <w:r w:rsidR="00FE0C3D">
          <w:rPr>
            <w:noProof/>
            <w:webHidden/>
          </w:rPr>
          <w:tab/>
        </w:r>
        <w:r w:rsidR="00FE0C3D">
          <w:rPr>
            <w:noProof/>
            <w:webHidden/>
          </w:rPr>
          <w:fldChar w:fldCharType="begin"/>
        </w:r>
        <w:r w:rsidR="00FE0C3D">
          <w:rPr>
            <w:noProof/>
            <w:webHidden/>
          </w:rPr>
          <w:instrText xml:space="preserve"> PAGEREF _Toc444603291 \h </w:instrText>
        </w:r>
        <w:r w:rsidR="00FE0C3D">
          <w:rPr>
            <w:noProof/>
            <w:webHidden/>
          </w:rPr>
        </w:r>
        <w:r w:rsidR="00FE0C3D">
          <w:rPr>
            <w:noProof/>
            <w:webHidden/>
          </w:rPr>
          <w:fldChar w:fldCharType="separate"/>
        </w:r>
        <w:r w:rsidR="00FE0C3D">
          <w:rPr>
            <w:noProof/>
            <w:webHidden/>
          </w:rPr>
          <w:t>20</w:t>
        </w:r>
        <w:r w:rsidR="00FE0C3D">
          <w:rPr>
            <w:noProof/>
            <w:webHidden/>
          </w:rPr>
          <w:fldChar w:fldCharType="end"/>
        </w:r>
      </w:hyperlink>
    </w:p>
    <w:p w14:paraId="6F0D4934" w14:textId="77777777" w:rsidR="00FE0C3D" w:rsidRDefault="00E21A5F">
      <w:pPr>
        <w:pStyle w:val="TOC2"/>
        <w:tabs>
          <w:tab w:val="right" w:leader="dot" w:pos="9016"/>
        </w:tabs>
        <w:rPr>
          <w:rFonts w:cstheme="minorBidi"/>
          <w:noProof/>
          <w:sz w:val="22"/>
          <w:lang w:val="en-NZ" w:eastAsia="en-NZ"/>
        </w:rPr>
      </w:pPr>
      <w:hyperlink w:anchor="_Toc444603292" w:history="1">
        <w:r w:rsidR="00FE0C3D" w:rsidRPr="00D91AFE">
          <w:rPr>
            <w:rStyle w:val="Hyperlink"/>
            <w:noProof/>
          </w:rPr>
          <w:t>Project outcomes and dissemination</w:t>
        </w:r>
        <w:r w:rsidR="00FE0C3D">
          <w:rPr>
            <w:noProof/>
            <w:webHidden/>
          </w:rPr>
          <w:tab/>
        </w:r>
        <w:r w:rsidR="00FE0C3D">
          <w:rPr>
            <w:noProof/>
            <w:webHidden/>
          </w:rPr>
          <w:fldChar w:fldCharType="begin"/>
        </w:r>
        <w:r w:rsidR="00FE0C3D">
          <w:rPr>
            <w:noProof/>
            <w:webHidden/>
          </w:rPr>
          <w:instrText xml:space="preserve"> PAGEREF _Toc444603292 \h </w:instrText>
        </w:r>
        <w:r w:rsidR="00FE0C3D">
          <w:rPr>
            <w:noProof/>
            <w:webHidden/>
          </w:rPr>
        </w:r>
        <w:r w:rsidR="00FE0C3D">
          <w:rPr>
            <w:noProof/>
            <w:webHidden/>
          </w:rPr>
          <w:fldChar w:fldCharType="separate"/>
        </w:r>
        <w:r w:rsidR="00FE0C3D">
          <w:rPr>
            <w:noProof/>
            <w:webHidden/>
          </w:rPr>
          <w:t>21</w:t>
        </w:r>
        <w:r w:rsidR="00FE0C3D">
          <w:rPr>
            <w:noProof/>
            <w:webHidden/>
          </w:rPr>
          <w:fldChar w:fldCharType="end"/>
        </w:r>
      </w:hyperlink>
    </w:p>
    <w:p w14:paraId="6BBE442D" w14:textId="77777777" w:rsidR="00FE0C3D" w:rsidRDefault="00E21A5F">
      <w:pPr>
        <w:pStyle w:val="TOC1"/>
        <w:tabs>
          <w:tab w:val="right" w:leader="dot" w:pos="9016"/>
        </w:tabs>
        <w:rPr>
          <w:rFonts w:cstheme="minorBidi"/>
          <w:b w:val="0"/>
          <w:noProof/>
          <w:sz w:val="22"/>
          <w:lang w:val="en-NZ" w:eastAsia="en-NZ"/>
        </w:rPr>
      </w:pPr>
      <w:hyperlink w:anchor="_Toc444603293" w:history="1">
        <w:r w:rsidR="00FE0C3D" w:rsidRPr="00D91AFE">
          <w:rPr>
            <w:rStyle w:val="Hyperlink"/>
            <w:noProof/>
          </w:rPr>
          <w:t>References</w:t>
        </w:r>
        <w:r w:rsidR="00FE0C3D">
          <w:rPr>
            <w:noProof/>
            <w:webHidden/>
          </w:rPr>
          <w:tab/>
        </w:r>
        <w:r w:rsidR="00FE0C3D">
          <w:rPr>
            <w:noProof/>
            <w:webHidden/>
          </w:rPr>
          <w:fldChar w:fldCharType="begin"/>
        </w:r>
        <w:r w:rsidR="00FE0C3D">
          <w:rPr>
            <w:noProof/>
            <w:webHidden/>
          </w:rPr>
          <w:instrText xml:space="preserve"> PAGEREF _Toc444603293 \h </w:instrText>
        </w:r>
        <w:r w:rsidR="00FE0C3D">
          <w:rPr>
            <w:noProof/>
            <w:webHidden/>
          </w:rPr>
        </w:r>
        <w:r w:rsidR="00FE0C3D">
          <w:rPr>
            <w:noProof/>
            <w:webHidden/>
          </w:rPr>
          <w:fldChar w:fldCharType="separate"/>
        </w:r>
        <w:r w:rsidR="00FE0C3D">
          <w:rPr>
            <w:noProof/>
            <w:webHidden/>
          </w:rPr>
          <w:t>22</w:t>
        </w:r>
        <w:r w:rsidR="00FE0C3D">
          <w:rPr>
            <w:noProof/>
            <w:webHidden/>
          </w:rPr>
          <w:fldChar w:fldCharType="end"/>
        </w:r>
      </w:hyperlink>
    </w:p>
    <w:p w14:paraId="2A05C40B" w14:textId="77777777" w:rsidR="00241CB6" w:rsidRDefault="00FD4A86">
      <w:pPr>
        <w:rPr>
          <w:rFonts w:eastAsia="+mn-ea"/>
          <w:color w:val="746340"/>
          <w:kern w:val="24"/>
          <w:sz w:val="40"/>
          <w:szCs w:val="40"/>
        </w:rPr>
      </w:pPr>
      <w:r w:rsidRPr="0063310E">
        <w:rPr>
          <w:rFonts w:eastAsiaTheme="minorEastAsia"/>
          <w:b/>
          <w:lang w:val="en-US"/>
        </w:rPr>
        <w:fldChar w:fldCharType="end"/>
      </w:r>
      <w:r w:rsidR="00241CB6">
        <w:br w:type="page"/>
      </w:r>
    </w:p>
    <w:p w14:paraId="3A3E98A3" w14:textId="77777777" w:rsidR="00D6437A" w:rsidRDefault="00D6437A" w:rsidP="008678E1">
      <w:pPr>
        <w:pStyle w:val="Heading1"/>
        <w:sectPr w:rsidR="00D6437A" w:rsidSect="008A1AF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fmt="lowerRoman" w:start="1"/>
          <w:cols w:space="708"/>
          <w:titlePg/>
          <w:docGrid w:linePitch="360"/>
        </w:sectPr>
      </w:pPr>
    </w:p>
    <w:p w14:paraId="0E72795D" w14:textId="77777777" w:rsidR="00796C08" w:rsidRDefault="00494A89" w:rsidP="008678E1">
      <w:pPr>
        <w:pStyle w:val="Heading1"/>
      </w:pPr>
      <w:bookmarkStart w:id="1" w:name="_Toc444603284"/>
      <w:r w:rsidRPr="00494A89">
        <w:lastRenderedPageBreak/>
        <w:t>Introduction</w:t>
      </w:r>
      <w:bookmarkEnd w:id="1"/>
    </w:p>
    <w:p w14:paraId="58A69796" w14:textId="64030C99" w:rsidR="0064172C" w:rsidRDefault="0064172C" w:rsidP="002F6158">
      <w:pPr>
        <w:spacing w:line="360" w:lineRule="auto"/>
        <w:rPr>
          <w:lang w:val="en-AU"/>
        </w:rPr>
      </w:pPr>
      <w:r w:rsidRPr="003B581B">
        <w:rPr>
          <w:lang w:val="en-AU"/>
        </w:rPr>
        <w:t xml:space="preserve">This report </w:t>
      </w:r>
      <w:r w:rsidR="003D764F">
        <w:rPr>
          <w:lang w:val="en-AU"/>
        </w:rPr>
        <w:t xml:space="preserve">is the culmination of a Faculty of Health and Environmental Sciences postgraduate summer studentship project undertaken to review the progress made in monitoring wellbeing in New Zealand. The overarching aim of this project was to </w:t>
      </w:r>
      <w:r w:rsidR="003D764F" w:rsidRPr="00F37BB3">
        <w:t>review and document the progress in assessment of population wellbeing in New Zealand over the last 15 years and</w:t>
      </w:r>
      <w:r w:rsidR="003D764F">
        <w:t xml:space="preserve"> to</w:t>
      </w:r>
      <w:r w:rsidR="003D764F" w:rsidRPr="00F37BB3">
        <w:t xml:space="preserve"> outline the steps required to move forward towards a robust understanding of wellbeing in New Zealand.</w:t>
      </w:r>
      <w:r w:rsidR="003D764F">
        <w:t xml:space="preserve"> </w:t>
      </w:r>
      <w:r w:rsidR="00CB2307">
        <w:rPr>
          <w:lang w:val="en-AU"/>
        </w:rPr>
        <w:t>The report</w:t>
      </w:r>
      <w:r w:rsidR="003D764F">
        <w:rPr>
          <w:lang w:val="en-AU"/>
        </w:rPr>
        <w:t xml:space="preserve"> </w:t>
      </w:r>
      <w:r w:rsidR="003D764F" w:rsidRPr="003B581B">
        <w:rPr>
          <w:lang w:val="en-AU"/>
        </w:rPr>
        <w:t xml:space="preserve">outlines </w:t>
      </w:r>
      <w:r w:rsidR="003D764F">
        <w:rPr>
          <w:lang w:val="en-GB"/>
        </w:rPr>
        <w:t>the background of wellbeing measurement, the aims, methods, results, findings of the review, and discusses future directions for wellbeing measurement in New Zealand</w:t>
      </w:r>
      <w:r w:rsidR="003D764F">
        <w:rPr>
          <w:lang w:val="en-AU"/>
        </w:rPr>
        <w:t xml:space="preserve">; the report </w:t>
      </w:r>
      <w:r w:rsidR="00CB2307">
        <w:rPr>
          <w:lang w:val="en-AU"/>
        </w:rPr>
        <w:t>is arranged in</w:t>
      </w:r>
      <w:r w:rsidRPr="003B581B">
        <w:rPr>
          <w:lang w:val="en-AU"/>
        </w:rPr>
        <w:t xml:space="preserve"> </w:t>
      </w:r>
      <w:r w:rsidR="002A0D36">
        <w:rPr>
          <w:lang w:val="en-AU"/>
        </w:rPr>
        <w:t>two</w:t>
      </w:r>
      <w:r w:rsidRPr="003B581B">
        <w:rPr>
          <w:lang w:val="en-AU"/>
        </w:rPr>
        <w:t xml:space="preserve"> main </w:t>
      </w:r>
      <w:r w:rsidR="002A0D36">
        <w:rPr>
          <w:lang w:val="en-AU"/>
        </w:rPr>
        <w:t>sections</w:t>
      </w:r>
      <w:r w:rsidR="003D764F">
        <w:rPr>
          <w:lang w:val="en-AU"/>
        </w:rPr>
        <w:t xml:space="preserve">. Section </w:t>
      </w:r>
      <w:r w:rsidR="00F4745F">
        <w:rPr>
          <w:lang w:val="en-AU"/>
        </w:rPr>
        <w:t>1</w:t>
      </w:r>
      <w:r w:rsidR="003D764F">
        <w:rPr>
          <w:lang w:val="en-AU"/>
        </w:rPr>
        <w:t xml:space="preserve"> contains the student reflections of the experience over the summer studentship, </w:t>
      </w:r>
      <w:r w:rsidR="003D764F" w:rsidRPr="003D764F">
        <w:rPr>
          <w:lang w:val="en-AU"/>
        </w:rPr>
        <w:t>including critical reflection, challenges, future direction, and acknowledgements.</w:t>
      </w:r>
      <w:r w:rsidR="003D764F">
        <w:rPr>
          <w:lang w:val="en-AU"/>
        </w:rPr>
        <w:t xml:space="preserve"> Section </w:t>
      </w:r>
      <w:r w:rsidR="00F4745F">
        <w:rPr>
          <w:lang w:val="en-AU"/>
        </w:rPr>
        <w:t>2</w:t>
      </w:r>
      <w:r w:rsidR="003D764F">
        <w:rPr>
          <w:lang w:val="en-AU"/>
        </w:rPr>
        <w:t xml:space="preserve"> contains the main body of the report, which begins with a </w:t>
      </w:r>
      <w:r w:rsidR="003D764F" w:rsidRPr="003D764F">
        <w:rPr>
          <w:lang w:val="en-AU"/>
        </w:rPr>
        <w:t xml:space="preserve">broad overview of the construct of wellbeing, why wellbeing needs to be measured and what the current progress </w:t>
      </w:r>
      <w:r w:rsidR="003D764F">
        <w:rPr>
          <w:lang w:val="en-AU"/>
        </w:rPr>
        <w:t>has been made</w:t>
      </w:r>
      <w:r w:rsidR="003D764F" w:rsidRPr="003D764F">
        <w:rPr>
          <w:lang w:val="en-AU"/>
        </w:rPr>
        <w:t xml:space="preserve"> in wellbeing measurement globally and in New Zealand.</w:t>
      </w:r>
      <w:r w:rsidR="003D764F">
        <w:rPr>
          <w:lang w:val="en-AU"/>
        </w:rPr>
        <w:t xml:space="preserve"> The methods and procedures undertaken to review wellbeing monitoring in New Zealand are described, and results are presented in Table 1. Findings of the review are discussed in relation to the gaps in wellbeing measurement and the next steps towards understanding wellbeing in New Zealand are outlined.</w:t>
      </w:r>
    </w:p>
    <w:p w14:paraId="428DF691" w14:textId="77777777" w:rsidR="0064172C" w:rsidRDefault="0064172C" w:rsidP="002F6158">
      <w:pPr>
        <w:spacing w:line="360" w:lineRule="auto"/>
        <w:rPr>
          <w:lang w:val="en-AU"/>
        </w:rPr>
      </w:pPr>
    </w:p>
    <w:p w14:paraId="322FA9F7" w14:textId="77777777" w:rsidR="0064172C" w:rsidRPr="003B581B" w:rsidRDefault="0064172C" w:rsidP="002F6158">
      <w:pPr>
        <w:spacing w:line="360" w:lineRule="auto"/>
        <w:rPr>
          <w:lang w:val="en-AU"/>
        </w:rPr>
      </w:pPr>
      <w:r w:rsidRPr="003B581B">
        <w:rPr>
          <w:lang w:val="en-AU"/>
        </w:rPr>
        <w:br w:type="page"/>
      </w:r>
    </w:p>
    <w:p w14:paraId="699825DF" w14:textId="77777777" w:rsidR="008678E1" w:rsidRDefault="00BA1D4A" w:rsidP="002F6158">
      <w:pPr>
        <w:pStyle w:val="Heading1"/>
        <w:spacing w:line="360" w:lineRule="auto"/>
      </w:pPr>
      <w:bookmarkStart w:id="2" w:name="_Toc444603285"/>
      <w:r>
        <w:lastRenderedPageBreak/>
        <w:t xml:space="preserve">Section 1: </w:t>
      </w:r>
      <w:r w:rsidR="006009B6">
        <w:t>Student Reflections</w:t>
      </w:r>
      <w:bookmarkEnd w:id="2"/>
    </w:p>
    <w:p w14:paraId="5B1B589B" w14:textId="4323149D" w:rsidR="007C45F0" w:rsidRPr="007C45F0" w:rsidRDefault="007C45F0" w:rsidP="002F6158">
      <w:pPr>
        <w:spacing w:line="360" w:lineRule="auto"/>
        <w:rPr>
          <w:i/>
        </w:rPr>
      </w:pPr>
      <w:r>
        <w:rPr>
          <w:i/>
        </w:rPr>
        <w:t>Reflections</w:t>
      </w:r>
    </w:p>
    <w:p w14:paraId="311C2F62" w14:textId="2594AC61" w:rsidR="00EB1989" w:rsidRDefault="00A04CCB" w:rsidP="002F6158">
      <w:pPr>
        <w:spacing w:line="360" w:lineRule="auto"/>
      </w:pPr>
      <w:r>
        <w:t xml:space="preserve">It has been a huge privilege to be able to take part in this studentship over the summer. As a recent entrant into the postgraduate world, I am still getting a handle on where my interests lie and what direction </w:t>
      </w:r>
      <w:r w:rsidR="00F4745F">
        <w:t>I would</w:t>
      </w:r>
      <w:r>
        <w:t xml:space="preserve"> like to go in for the future. This studentship was an opportunity for me to explore an area </w:t>
      </w:r>
      <w:r w:rsidR="00F4745F">
        <w:t>that</w:t>
      </w:r>
      <w:r>
        <w:t xml:space="preserve"> is new to me: wellbeing measurement. As part of </w:t>
      </w:r>
      <w:r w:rsidR="00F4745F">
        <w:t>that,</w:t>
      </w:r>
      <w:r>
        <w:t xml:space="preserve"> I was able to learn more about positive psychology, health policy and understand from a global perspective the</w:t>
      </w:r>
      <w:r w:rsidR="00EB1989">
        <w:t xml:space="preserve"> current </w:t>
      </w:r>
      <w:r>
        <w:t>p</w:t>
      </w:r>
      <w:r w:rsidR="00F87293">
        <w:t>rogress in monitoring wellbeing</w:t>
      </w:r>
      <w:r>
        <w:t>. Looking back on three months ago when I sta</w:t>
      </w:r>
      <w:r w:rsidR="00EB1989">
        <w:t>rted the studentship, I</w:t>
      </w:r>
      <w:r>
        <w:t xml:space="preserve"> feel as though I </w:t>
      </w:r>
      <w:r w:rsidR="00EB1989">
        <w:t xml:space="preserve">have </w:t>
      </w:r>
      <w:r w:rsidR="00C66C4F">
        <w:t xml:space="preserve">now </w:t>
      </w:r>
      <w:r w:rsidR="00EB1989">
        <w:t>expanded my knowled</w:t>
      </w:r>
      <w:r w:rsidR="00C66C4F">
        <w:t>ge base exponentially and am</w:t>
      </w:r>
      <w:r w:rsidR="00EB1989">
        <w:t xml:space="preserve"> able to have an informed opinion about something I knew very little about prior to this summer.</w:t>
      </w:r>
    </w:p>
    <w:p w14:paraId="21529ACB" w14:textId="77777777" w:rsidR="006852B1" w:rsidRDefault="00EB1989" w:rsidP="002F6158">
      <w:pPr>
        <w:spacing w:line="360" w:lineRule="auto"/>
      </w:pPr>
      <w:r>
        <w:t>Alongside new knowledge of wellbeing, I also feel that I have had opportunity to improve my writing and research skills as I have worked alongside my primary supervisor, Lisa Mackay.</w:t>
      </w:r>
      <w:r w:rsidR="00D828DF">
        <w:t xml:space="preserve"> I now feel more confident even in small things such as planning and writing a literature review, </w:t>
      </w:r>
      <w:r w:rsidR="0028408D">
        <w:t xml:space="preserve">paragraph structure </w:t>
      </w:r>
      <w:r w:rsidR="00D828DF">
        <w:t>and putting together a results table.</w:t>
      </w:r>
      <w:r>
        <w:t xml:space="preserve"> </w:t>
      </w:r>
      <w:r w:rsidR="00195A85">
        <w:t>Never having worked with survey data, I l</w:t>
      </w:r>
      <w:r w:rsidR="00B57161">
        <w:t xml:space="preserve">earnt </w:t>
      </w:r>
      <w:r w:rsidR="001D571C">
        <w:t>a lot about good survey design and the methodological issues involved in implementing a nation-wide survey.</w:t>
      </w:r>
      <w:r w:rsidR="00E32A43">
        <w:t xml:space="preserve"> I hope that through my research and input on the topic, I was also able to add some value back into the work the Human Potential Centre is doing in th</w:t>
      </w:r>
      <w:r w:rsidR="0028408D">
        <w:t>e area of wellbeing measurement through the Sovereign Wellbeing Index.</w:t>
      </w:r>
    </w:p>
    <w:p w14:paraId="79092F91" w14:textId="7897820F" w:rsidR="002519C3" w:rsidRDefault="002519C3" w:rsidP="002F6158">
      <w:pPr>
        <w:spacing w:line="360" w:lineRule="auto"/>
      </w:pPr>
      <w:r>
        <w:t xml:space="preserve">The studentship challenged me in a number of different ways. Before I began, I had absolutely no knowledge of the topic and was unsure even of where to start </w:t>
      </w:r>
      <w:r w:rsidR="00506ACC">
        <w:t xml:space="preserve">with </w:t>
      </w:r>
      <w:r>
        <w:t xml:space="preserve">my research. I had to read a large amount of literature in order to get a good handle on the different aspects of wellbeing measurement – particularly when it came to understanding the difference between concepts such as hedonia, eudaimonia and flourishing. However, I am thankful to have explored a new topic </w:t>
      </w:r>
      <w:r w:rsidR="00F4745F">
        <w:t>that</w:t>
      </w:r>
      <w:r>
        <w:t xml:space="preserve"> I knew nothing about as it forced me to get out of my comfort zone and gave me insight into an area </w:t>
      </w:r>
      <w:r w:rsidR="00F4745F">
        <w:t>that</w:t>
      </w:r>
      <w:r>
        <w:t xml:space="preserve"> I now find incredibly interesting.</w:t>
      </w:r>
    </w:p>
    <w:p w14:paraId="7072B500" w14:textId="27AE637E" w:rsidR="001D571C" w:rsidRDefault="001D571C" w:rsidP="002F6158">
      <w:pPr>
        <w:spacing w:line="360" w:lineRule="auto"/>
      </w:pPr>
      <w:r w:rsidRPr="00265362">
        <w:t>Moving forward, the area of wellbeing and psychology has certainly sparked my interest</w:t>
      </w:r>
      <w:r w:rsidR="00506ACC">
        <w:t xml:space="preserve"> enough that </w:t>
      </w:r>
      <w:r w:rsidR="00F4745F">
        <w:t>I would</w:t>
      </w:r>
      <w:r w:rsidR="00506ACC">
        <w:t xml:space="preserve"> like to delve further into</w:t>
      </w:r>
      <w:r w:rsidRPr="00265362">
        <w:t xml:space="preserve"> these</w:t>
      </w:r>
      <w:r w:rsidR="00D828DF" w:rsidRPr="00265362">
        <w:t xml:space="preserve"> ar</w:t>
      </w:r>
      <w:r w:rsidR="00506ACC">
        <w:t>eas</w:t>
      </w:r>
      <w:r w:rsidR="00D828DF" w:rsidRPr="00265362">
        <w:t xml:space="preserve"> in the future. </w:t>
      </w:r>
      <w:r w:rsidR="00EB2461" w:rsidRPr="00265362">
        <w:t>I discovere</w:t>
      </w:r>
      <w:r w:rsidR="00265362">
        <w:t>d that wellbeing is a huge construct</w:t>
      </w:r>
      <w:r w:rsidR="00EB2461" w:rsidRPr="00265362">
        <w:t xml:space="preserve"> with many sub-topics beneath</w:t>
      </w:r>
      <w:r w:rsidR="00F27484" w:rsidRPr="00265362">
        <w:t xml:space="preserve"> </w:t>
      </w:r>
      <w:r w:rsidR="00F4745F" w:rsidRPr="00265362">
        <w:t>it;</w:t>
      </w:r>
      <w:r w:rsidR="00F27484" w:rsidRPr="00265362">
        <w:t xml:space="preserve"> two</w:t>
      </w:r>
      <w:r w:rsidR="00EB2461" w:rsidRPr="00265362">
        <w:t xml:space="preserve"> particular area</w:t>
      </w:r>
      <w:r w:rsidR="00F27484" w:rsidRPr="00265362">
        <w:t>s</w:t>
      </w:r>
      <w:r w:rsidR="00EB2461" w:rsidRPr="00265362">
        <w:t xml:space="preserve"> </w:t>
      </w:r>
      <w:r w:rsidR="00F4745F">
        <w:t>that</w:t>
      </w:r>
      <w:r w:rsidR="00EB2461" w:rsidRPr="00265362">
        <w:t xml:space="preserve"> captured my a</w:t>
      </w:r>
      <w:r w:rsidR="00F27484" w:rsidRPr="00265362">
        <w:t>ttention were</w:t>
      </w:r>
      <w:r w:rsidR="00EB2461" w:rsidRPr="00265362">
        <w:t xml:space="preserve"> that of the relationship between positive affect and </w:t>
      </w:r>
      <w:r w:rsidR="00F27484" w:rsidRPr="00265362">
        <w:t>prosocial behaviour</w:t>
      </w:r>
      <w:r w:rsidR="00265362">
        <w:t>,</w:t>
      </w:r>
      <w:r w:rsidR="00F27484" w:rsidRPr="00265362">
        <w:t xml:space="preserve"> </w:t>
      </w:r>
      <w:r w:rsidR="00F4745F" w:rsidRPr="00265362">
        <w:t>and</w:t>
      </w:r>
      <w:r w:rsidR="00F27484" w:rsidRPr="00265362">
        <w:t xml:space="preserve"> the studies on affect and life satisfaction and the change these things can bring to physical health and longevity.</w:t>
      </w:r>
      <w:r w:rsidR="002519C3">
        <w:t xml:space="preserve"> Additionally, I </w:t>
      </w:r>
      <w:r w:rsidR="00F4745F">
        <w:t xml:space="preserve">have </w:t>
      </w:r>
      <w:r w:rsidR="002519C3">
        <w:t>lear</w:t>
      </w:r>
      <w:r w:rsidR="00EB335C">
        <w:t>ned</w:t>
      </w:r>
      <w:r w:rsidR="002519C3">
        <w:t xml:space="preserve"> a lot about policy and economics and am intrigued to see how wellbeing measurement is incorporated into public policy in a greater way in the future.</w:t>
      </w:r>
    </w:p>
    <w:p w14:paraId="33DAB0DD" w14:textId="67BFE25A" w:rsidR="007C45F0" w:rsidRPr="007C45F0" w:rsidRDefault="007C45F0" w:rsidP="002F6158">
      <w:pPr>
        <w:spacing w:line="360" w:lineRule="auto"/>
        <w:rPr>
          <w:i/>
        </w:rPr>
      </w:pPr>
      <w:r>
        <w:rPr>
          <w:i/>
        </w:rPr>
        <w:t>Acknowledgements</w:t>
      </w:r>
    </w:p>
    <w:p w14:paraId="7B96AD6B" w14:textId="1AA520DD" w:rsidR="00F27484" w:rsidRPr="00A04CCB" w:rsidRDefault="00F27484" w:rsidP="002F6158">
      <w:pPr>
        <w:spacing w:line="360" w:lineRule="auto"/>
      </w:pPr>
      <w:r>
        <w:t xml:space="preserve">I would like to thank my primary supervisor, Lisa Mackay, who gave me a tremendous amount of support throughout this summer. I learnt a lot from her and am very </w:t>
      </w:r>
      <w:r w:rsidR="001A0B6F">
        <w:t>thankful to have had her invest so much into me</w:t>
      </w:r>
      <w:r>
        <w:t xml:space="preserve">. </w:t>
      </w:r>
      <w:r w:rsidR="00F4745F">
        <w:t>I would</w:t>
      </w:r>
      <w:r>
        <w:t xml:space="preserve"> also like to thank Kate Prendergast who passed on her expertise at a number </w:t>
      </w:r>
      <w:r>
        <w:lastRenderedPageBreak/>
        <w:t>of different stages</w:t>
      </w:r>
      <w:r w:rsidR="00A16892">
        <w:t xml:space="preserve"> during this studentship. Furthermore, I</w:t>
      </w:r>
      <w:r>
        <w:t xml:space="preserve"> feel privil</w:t>
      </w:r>
      <w:r w:rsidR="001A0B6F">
        <w:t>eged to have been working with</w:t>
      </w:r>
      <w:r>
        <w:t xml:space="preserve"> the wider team of the Human Potential Cen</w:t>
      </w:r>
      <w:r w:rsidR="001A0B6F">
        <w:t>tre w</w:t>
      </w:r>
      <w:r w:rsidR="00B87C5D">
        <w:t>ho are constantly teaching me</w:t>
      </w:r>
      <w:r w:rsidR="001A0B6F">
        <w:t xml:space="preserve"> new things and providing me with support.</w:t>
      </w:r>
      <w:r w:rsidR="00B56AC0">
        <w:t xml:space="preserve"> Finally, I would like to acknowledge the Faculty of Health and Environmental Sciences for the </w:t>
      </w:r>
      <w:r w:rsidR="007C085D">
        <w:t xml:space="preserve">valuable </w:t>
      </w:r>
      <w:r w:rsidR="00B56AC0">
        <w:t xml:space="preserve">opportunity and funding to undertake this </w:t>
      </w:r>
      <w:r w:rsidR="00471975">
        <w:t xml:space="preserve">research </w:t>
      </w:r>
      <w:r w:rsidR="00B56AC0">
        <w:t xml:space="preserve">project. </w:t>
      </w:r>
    </w:p>
    <w:p w14:paraId="5E87DBC7" w14:textId="77777777" w:rsidR="009C3AA0" w:rsidRDefault="009C3AA0" w:rsidP="002F6158">
      <w:pPr>
        <w:spacing w:line="360" w:lineRule="auto"/>
      </w:pPr>
    </w:p>
    <w:p w14:paraId="1D074F84" w14:textId="77777777" w:rsidR="008B54E3" w:rsidRDefault="008B54E3" w:rsidP="002F6158">
      <w:pPr>
        <w:spacing w:line="360" w:lineRule="auto"/>
      </w:pPr>
    </w:p>
    <w:p w14:paraId="3C8235D9" w14:textId="77777777" w:rsidR="001428C5" w:rsidRDefault="001428C5" w:rsidP="002F6158">
      <w:pPr>
        <w:spacing w:line="360" w:lineRule="auto"/>
      </w:pPr>
    </w:p>
    <w:p w14:paraId="6A5896D4" w14:textId="77777777" w:rsidR="005C5BCE" w:rsidRDefault="005C5BCE" w:rsidP="002F6158">
      <w:pPr>
        <w:spacing w:line="360" w:lineRule="auto"/>
        <w:rPr>
          <w:rFonts w:eastAsia="+mn-ea"/>
          <w:color w:val="746340"/>
          <w:kern w:val="24"/>
          <w:sz w:val="40"/>
          <w:szCs w:val="40"/>
        </w:rPr>
      </w:pPr>
      <w:r>
        <w:br w:type="page"/>
      </w:r>
    </w:p>
    <w:p w14:paraId="639F2A6A" w14:textId="77777777" w:rsidR="00BA1D4A" w:rsidRDefault="00BA1D4A" w:rsidP="002F6158">
      <w:pPr>
        <w:pStyle w:val="Heading1"/>
        <w:spacing w:line="360" w:lineRule="auto"/>
      </w:pPr>
      <w:bookmarkStart w:id="3" w:name="_Toc444603286"/>
      <w:r>
        <w:lastRenderedPageBreak/>
        <w:t xml:space="preserve">Section 2: </w:t>
      </w:r>
      <w:r w:rsidR="008B54E3">
        <w:t>Final Report</w:t>
      </w:r>
      <w:bookmarkEnd w:id="3"/>
    </w:p>
    <w:p w14:paraId="6C2B17D2" w14:textId="77777777" w:rsidR="00494A89" w:rsidRDefault="00636567" w:rsidP="002F6158">
      <w:pPr>
        <w:pStyle w:val="Heading2"/>
        <w:spacing w:line="360" w:lineRule="auto"/>
      </w:pPr>
      <w:bookmarkStart w:id="4" w:name="_Toc444603287"/>
      <w:r>
        <w:t>Background</w:t>
      </w:r>
      <w:bookmarkEnd w:id="4"/>
    </w:p>
    <w:p w14:paraId="4C3DC208" w14:textId="7F110F6F" w:rsidR="009A3A3C" w:rsidRDefault="00B25E76" w:rsidP="002F6158">
      <w:pPr>
        <w:spacing w:line="360" w:lineRule="auto"/>
      </w:pPr>
      <w:bookmarkStart w:id="5" w:name="_Ref415751898"/>
      <w:r>
        <w:t xml:space="preserve">Wellbeing is a multi-dimensional construct encompassing on a broad level people’s feelings about their lives and </w:t>
      </w:r>
      <w:r w:rsidR="00B35847">
        <w:t xml:space="preserve">the way in which they are living, personally and socially </w:t>
      </w:r>
      <w:r w:rsidR="00B35847" w:rsidRPr="009B3841">
        <w:t>(</w:t>
      </w:r>
      <w:r w:rsidR="009B3841" w:rsidRPr="009B3841">
        <w:t>Michaelson</w:t>
      </w:r>
      <w:r w:rsidR="00B35847" w:rsidRPr="009B3841">
        <w:t>,</w:t>
      </w:r>
      <w:r w:rsidR="009B3841" w:rsidRPr="009B3841">
        <w:t xml:space="preserve"> Abdallah, Steuer, Thompson, &amp; Marks,</w:t>
      </w:r>
      <w:r w:rsidR="00B35847" w:rsidRPr="009B3841">
        <w:t xml:space="preserve"> 2009</w:t>
      </w:r>
      <w:r w:rsidR="00B35847">
        <w:t xml:space="preserve">). </w:t>
      </w:r>
      <w:r w:rsidR="00B35847" w:rsidRPr="00741A05">
        <w:t xml:space="preserve">Monitoring </w:t>
      </w:r>
      <w:r w:rsidR="00C674F6" w:rsidRPr="00741A05">
        <w:t>the wellbeing</w:t>
      </w:r>
      <w:r w:rsidR="00B35847" w:rsidRPr="00741A05">
        <w:t xml:space="preserve"> of a population is hu</w:t>
      </w:r>
      <w:r w:rsidR="00741A05" w:rsidRPr="00741A05">
        <w:t>gely important aspect to understanding</w:t>
      </w:r>
      <w:r w:rsidR="00B35847" w:rsidRPr="00741A05">
        <w:t xml:space="preserve"> the way different political, social, and </w:t>
      </w:r>
      <w:r w:rsidR="00A81A7E" w:rsidRPr="00741A05">
        <w:t xml:space="preserve">economic climates may affect </w:t>
      </w:r>
      <w:r w:rsidR="00B35847" w:rsidRPr="00741A05">
        <w:t>the feelings and fu</w:t>
      </w:r>
      <w:r w:rsidR="00741A05" w:rsidRPr="00741A05">
        <w:t>nctioning of citizens (Michaelson et al., 2009</w:t>
      </w:r>
      <w:r w:rsidR="00B35847" w:rsidRPr="00741A05">
        <w:t>).</w:t>
      </w:r>
      <w:r w:rsidR="00B35847">
        <w:t xml:space="preserve"> Understanding</w:t>
      </w:r>
      <w:r w:rsidR="009A3A3C">
        <w:t xml:space="preserve"> of population wellbeing has typically focussed on the prevalence of mental ill-being (i.e.</w:t>
      </w:r>
      <w:r w:rsidR="00FA2912">
        <w:t>,</w:t>
      </w:r>
      <w:r w:rsidR="009A3A3C">
        <w:t xml:space="preserve"> major depressive disorders), or on economic </w:t>
      </w:r>
      <w:r w:rsidR="006153DE">
        <w:t xml:space="preserve">and social </w:t>
      </w:r>
      <w:r w:rsidR="009A3A3C">
        <w:t>indicators of societal progress such as Gross Domestic Product</w:t>
      </w:r>
      <w:r w:rsidR="00FA2912">
        <w:t xml:space="preserve"> (GDP)</w:t>
      </w:r>
      <w:r w:rsidR="006153DE">
        <w:t>, paid work, social connectedness, and knowledge and skills (</w:t>
      </w:r>
      <w:r w:rsidR="00B13585">
        <w:t>e.g., Ministry of Social Development, 2010)</w:t>
      </w:r>
      <w:r w:rsidR="009A3A3C">
        <w:t xml:space="preserve">. Measures of mental ill-being are essential for prevention and management of disorders, and economic indicators play a </w:t>
      </w:r>
      <w:r w:rsidR="00FA2912">
        <w:t xml:space="preserve">crucial </w:t>
      </w:r>
      <w:r w:rsidR="009A3A3C">
        <w:t xml:space="preserve">role in policy-making for resource allocation and improvement of living standards. However, there are a myriad of </w:t>
      </w:r>
      <w:r w:rsidR="00FA2912">
        <w:t xml:space="preserve">factors relevant for population wellbeing that </w:t>
      </w:r>
      <w:r w:rsidR="009A3A3C">
        <w:t>these measures cannot show</w:t>
      </w:r>
      <w:r w:rsidR="00FA2912">
        <w:t>;</w:t>
      </w:r>
      <w:r w:rsidR="009A3A3C">
        <w:t xml:space="preserve"> </w:t>
      </w:r>
      <w:r w:rsidR="00FA2912">
        <w:t xml:space="preserve">furthermore, </w:t>
      </w:r>
      <w:r w:rsidR="009A3A3C">
        <w:t>improvements in such metrics do not necessarily translate into gains in the overall wellbeing of the population (</w:t>
      </w:r>
      <w:r w:rsidR="009A3A3C" w:rsidRPr="00B44CE6">
        <w:t>Muhajarine et al., 2012)</w:t>
      </w:r>
      <w:r w:rsidR="009A3A3C">
        <w:t xml:space="preserve">. Instead, this report focusses on population-wide measurement of wellbeing in terms of the extent to which citizens are </w:t>
      </w:r>
      <w:r w:rsidR="009A3A3C">
        <w:rPr>
          <w:i/>
        </w:rPr>
        <w:t>flourishing</w:t>
      </w:r>
      <w:r w:rsidR="009A3A3C" w:rsidRPr="004F11B1">
        <w:rPr>
          <w:i/>
        </w:rPr>
        <w:t xml:space="preserve">. </w:t>
      </w:r>
      <w:r w:rsidR="00AD067D" w:rsidRPr="00B93CFE">
        <w:t xml:space="preserve">The concept of flourishing sits within a positive-health framework, where </w:t>
      </w:r>
      <w:r w:rsidR="00CD2592" w:rsidRPr="00B93CFE">
        <w:t xml:space="preserve">emphasis is placed on understanding and </w:t>
      </w:r>
      <w:r w:rsidR="00CD2592" w:rsidRPr="00B93CFE">
        <w:rPr>
          <w:lang w:val="en-GB"/>
        </w:rPr>
        <w:t xml:space="preserve">developing positive attributes and qualities </w:t>
      </w:r>
      <w:r w:rsidR="00934455">
        <w:rPr>
          <w:lang w:val="en-GB"/>
        </w:rPr>
        <w:t>that</w:t>
      </w:r>
      <w:r w:rsidR="00934455" w:rsidRPr="00B93CFE">
        <w:rPr>
          <w:lang w:val="en-GB"/>
        </w:rPr>
        <w:t xml:space="preserve"> </w:t>
      </w:r>
      <w:r w:rsidR="00CD2592" w:rsidRPr="00B93CFE">
        <w:rPr>
          <w:lang w:val="en-GB"/>
        </w:rPr>
        <w:t>enable individuals, com</w:t>
      </w:r>
      <w:r w:rsidR="00B93CFE">
        <w:rPr>
          <w:lang w:val="en-GB"/>
        </w:rPr>
        <w:t>munities, and society to thrive (</w:t>
      </w:r>
      <w:r w:rsidR="00B93CFE">
        <w:t>Seligman &amp; Csikszentmihalyi, 2000).</w:t>
      </w:r>
      <w:r w:rsidR="00931F50">
        <w:t xml:space="preserve"> </w:t>
      </w:r>
      <w:r w:rsidR="009A3A3C">
        <w:t>Such measures of flourishing should not replace measures of mental ill-being or economic</w:t>
      </w:r>
      <w:r w:rsidR="00934455">
        <w:t xml:space="preserve"> and social</w:t>
      </w:r>
      <w:r w:rsidR="009A3A3C">
        <w:t xml:space="preserve"> progress, but should complement and </w:t>
      </w:r>
      <w:r w:rsidR="00934455">
        <w:t>explain</w:t>
      </w:r>
      <w:r w:rsidR="009A3A3C">
        <w:t xml:space="preserve"> the importance of different domains for people’s quality of life (Diener, Lucas, Schimmack, &amp; Helliwell, 2009</w:t>
      </w:r>
      <w:r w:rsidR="00931F50">
        <w:t>).</w:t>
      </w:r>
      <w:r w:rsidR="00661810">
        <w:t xml:space="preserve"> </w:t>
      </w:r>
    </w:p>
    <w:p w14:paraId="784998BA" w14:textId="4C5EB151" w:rsidR="00C21F94" w:rsidRPr="009A3A3C" w:rsidRDefault="009A3A3C" w:rsidP="002F6158">
      <w:pPr>
        <w:spacing w:line="360" w:lineRule="auto"/>
        <w:rPr>
          <w:highlight w:val="yellow"/>
        </w:rPr>
      </w:pPr>
      <w:r>
        <w:t>There is</w:t>
      </w:r>
      <w:r w:rsidR="00B93CFE">
        <w:t xml:space="preserve"> a</w:t>
      </w:r>
      <w:r>
        <w:t xml:space="preserve"> large </w:t>
      </w:r>
      <w:r w:rsidR="001644D8">
        <w:t xml:space="preserve">body </w:t>
      </w:r>
      <w:r>
        <w:t xml:space="preserve">of literature </w:t>
      </w:r>
      <w:r w:rsidR="001644D8">
        <w:t xml:space="preserve">debating </w:t>
      </w:r>
      <w:r>
        <w:t xml:space="preserve">the issues </w:t>
      </w:r>
      <w:r w:rsidR="001644D8">
        <w:t xml:space="preserve">of </w:t>
      </w:r>
      <w:r>
        <w:t>economic</w:t>
      </w:r>
      <w:r w:rsidR="00934455">
        <w:t xml:space="preserve"> and social</w:t>
      </w:r>
      <w:r>
        <w:t xml:space="preserve"> indicators as a measure of how well a society is doing</w:t>
      </w:r>
      <w:r w:rsidR="001644D8">
        <w:t>;</w:t>
      </w:r>
      <w:r>
        <w:t xml:space="preserve"> </w:t>
      </w:r>
      <w:r w:rsidR="001644D8">
        <w:t xml:space="preserve">the </w:t>
      </w:r>
      <w:r w:rsidR="00934455">
        <w:t>consensus</w:t>
      </w:r>
      <w:r w:rsidR="001644D8">
        <w:t xml:space="preserve"> among wellbeing academics is that </w:t>
      </w:r>
      <w:r>
        <w:t xml:space="preserve">measuring </w:t>
      </w:r>
      <w:r w:rsidR="001644D8">
        <w:t xml:space="preserve">broader </w:t>
      </w:r>
      <w:r>
        <w:t xml:space="preserve">aspects of wellbeing alongside </w:t>
      </w:r>
      <w:r w:rsidR="00934455">
        <w:t xml:space="preserve">these indicators </w:t>
      </w:r>
      <w:r>
        <w:t xml:space="preserve">will </w:t>
      </w:r>
      <w:r w:rsidR="00934455">
        <w:t xml:space="preserve">provide </w:t>
      </w:r>
      <w:r>
        <w:t xml:space="preserve">a more </w:t>
      </w:r>
      <w:r w:rsidR="001644D8">
        <w:t xml:space="preserve">accurate </w:t>
      </w:r>
      <w:r w:rsidR="00934455">
        <w:t xml:space="preserve">understanding </w:t>
      </w:r>
      <w:r>
        <w:t xml:space="preserve">of how a population is faring. </w:t>
      </w:r>
      <w:r w:rsidR="00934455">
        <w:t xml:space="preserve">Assessing the wellbeing of a population provides important data to inform policy decisions and increase understanding of how people are faring within the present </w:t>
      </w:r>
      <w:r w:rsidR="00183D4A">
        <w:t>economic and political climate.</w:t>
      </w:r>
      <w:r w:rsidR="00934455" w:rsidRPr="00934455">
        <w:t xml:space="preserve"> </w:t>
      </w:r>
      <w:r w:rsidR="00934455">
        <w:t xml:space="preserve">It also enables identification of key population groups that require additional support </w:t>
      </w:r>
      <w:r w:rsidR="00176BA4">
        <w:t xml:space="preserve">and </w:t>
      </w:r>
      <w:r w:rsidR="00934455">
        <w:t xml:space="preserve">focussed attention to improve wellbeing. </w:t>
      </w:r>
      <w:r w:rsidR="00934455">
        <w:rPr>
          <w:rFonts w:cs="Caecilia-Roman"/>
        </w:rPr>
        <w:t>This understanding is particularly important</w:t>
      </w:r>
      <w:r>
        <w:rPr>
          <w:rFonts w:cs="Caecilia-Roman"/>
        </w:rPr>
        <w:t xml:space="preserve"> amidst rampant economic difficulties </w:t>
      </w:r>
      <w:r w:rsidR="00934455">
        <w:rPr>
          <w:rFonts w:cs="Caecilia-Roman"/>
        </w:rPr>
        <w:t xml:space="preserve">and natural disasters </w:t>
      </w:r>
      <w:r>
        <w:rPr>
          <w:rFonts w:cs="Caecilia-Roman"/>
        </w:rPr>
        <w:t xml:space="preserve">(OECD, 2013). </w:t>
      </w:r>
      <w:r w:rsidR="005F3E09">
        <w:rPr>
          <w:rFonts w:cs="Caecilia-Roman"/>
        </w:rPr>
        <w:t xml:space="preserve">Furthermore, </w:t>
      </w:r>
      <w:r w:rsidR="005F3E09">
        <w:t>r</w:t>
      </w:r>
      <w:r w:rsidR="005F3E09" w:rsidRPr="00E7320E">
        <w:t>esearch shows that wellbeing</w:t>
      </w:r>
      <w:r w:rsidR="005F3E09">
        <w:t xml:space="preserve"> of individuals</w:t>
      </w:r>
      <w:r w:rsidR="005F3E09" w:rsidRPr="00E7320E">
        <w:t xml:space="preserve"> and economic </w:t>
      </w:r>
      <w:r w:rsidR="005F3E09">
        <w:t xml:space="preserve">and social </w:t>
      </w:r>
      <w:r w:rsidR="005F3E09" w:rsidRPr="00E7320E">
        <w:t>indicators of wellbeing are often interconnected with a change in one producing a change in the other</w:t>
      </w:r>
      <w:r w:rsidR="005F3E09">
        <w:t>,</w:t>
      </w:r>
      <w:r w:rsidR="005F3E09" w:rsidRPr="00E7320E">
        <w:t xml:space="preserve"> and vice versa </w:t>
      </w:r>
      <w:r w:rsidR="005F3E09" w:rsidRPr="00C135A8">
        <w:t>(Diener, Oishi, &amp; Lucas, 2015).</w:t>
      </w:r>
      <w:r w:rsidR="005F3E09" w:rsidRPr="00E7320E">
        <w:t xml:space="preserve"> </w:t>
      </w:r>
      <w:r>
        <w:rPr>
          <w:rFonts w:cs="Caecilia-Roman"/>
        </w:rPr>
        <w:t xml:space="preserve">High levels of wellbeing are desirable </w:t>
      </w:r>
      <w:r w:rsidR="001644D8">
        <w:rPr>
          <w:rFonts w:cs="Caecilia-Roman"/>
        </w:rPr>
        <w:t xml:space="preserve">for </w:t>
      </w:r>
      <w:r>
        <w:rPr>
          <w:rFonts w:cs="Caecilia-Roman"/>
        </w:rPr>
        <w:t>the public, and measuring subjective wellbeing brings people’s values and experiences to the government’s attention</w:t>
      </w:r>
      <w:r w:rsidR="001644D8">
        <w:rPr>
          <w:rFonts w:cs="Caecilia-Roman"/>
        </w:rPr>
        <w:t>,</w:t>
      </w:r>
      <w:r>
        <w:rPr>
          <w:rFonts w:cs="Caecilia-Roman"/>
        </w:rPr>
        <w:t xml:space="preserve"> hopefully bringing more cohesio</w:t>
      </w:r>
      <w:r w:rsidR="00E77A4D">
        <w:rPr>
          <w:rFonts w:cs="Caecilia-Roman"/>
        </w:rPr>
        <w:t>n between the two (Diener</w:t>
      </w:r>
      <w:r>
        <w:rPr>
          <w:rFonts w:cs="Caecilia-Roman"/>
        </w:rPr>
        <w:t>,</w:t>
      </w:r>
      <w:r w:rsidR="00E77A4D">
        <w:rPr>
          <w:rFonts w:cs="Caecilia-Roman"/>
        </w:rPr>
        <w:t xml:space="preserve"> Oishi, &amp; Lucas,</w:t>
      </w:r>
      <w:r>
        <w:rPr>
          <w:rFonts w:cs="Caecilia-Roman"/>
        </w:rPr>
        <w:t xml:space="preserve"> 2015; Michaelson et al., 2009).</w:t>
      </w:r>
      <w:r>
        <w:t xml:space="preserve"> </w:t>
      </w:r>
    </w:p>
    <w:p w14:paraId="3A750005" w14:textId="77777777" w:rsidR="00C21F94" w:rsidRDefault="00C21F94" w:rsidP="002F6158">
      <w:pPr>
        <w:spacing w:line="360" w:lineRule="auto"/>
      </w:pPr>
    </w:p>
    <w:p w14:paraId="358EA1C0" w14:textId="77777777" w:rsidR="00BD7FF4" w:rsidRDefault="00BD7FF4" w:rsidP="002F6158">
      <w:pPr>
        <w:spacing w:line="360" w:lineRule="auto"/>
      </w:pPr>
    </w:p>
    <w:p w14:paraId="3BE005BD" w14:textId="77777777" w:rsidR="00B50498" w:rsidRDefault="00E1238B" w:rsidP="002F6158">
      <w:pPr>
        <w:spacing w:line="360" w:lineRule="auto"/>
        <w:rPr>
          <w:i/>
        </w:rPr>
      </w:pPr>
      <w:r>
        <w:rPr>
          <w:i/>
        </w:rPr>
        <w:lastRenderedPageBreak/>
        <w:t>What is wellbeing?</w:t>
      </w:r>
    </w:p>
    <w:p w14:paraId="1C48E5F9" w14:textId="10C2ED52" w:rsidR="009A3A3C" w:rsidRDefault="009A3A3C" w:rsidP="002F6158">
      <w:pPr>
        <w:spacing w:line="360" w:lineRule="auto"/>
      </w:pPr>
      <w:r>
        <w:t xml:space="preserve">Wellbeing is </w:t>
      </w:r>
      <w:r w:rsidR="00AD067D">
        <w:t xml:space="preserve">a broad term that is </w:t>
      </w:r>
      <w:r>
        <w:t xml:space="preserve">becoming more widely </w:t>
      </w:r>
      <w:r w:rsidR="00AD067D">
        <w:t>applied beyond health and psychology</w:t>
      </w:r>
      <w:r w:rsidR="00176BA4">
        <w:t xml:space="preserve">; </w:t>
      </w:r>
      <w:r w:rsidR="00AD067D">
        <w:t>there are varying definitions of wellbeing depending upon the context in which it is applied.</w:t>
      </w:r>
      <w:r>
        <w:t xml:space="preserve"> </w:t>
      </w:r>
      <w:r w:rsidR="007F5B7B">
        <w:t xml:space="preserve">From a </w:t>
      </w:r>
      <w:r w:rsidR="00176BA4">
        <w:t xml:space="preserve">public health </w:t>
      </w:r>
      <w:r w:rsidR="007F5B7B">
        <w:t xml:space="preserve">perspective, it is important to make a distinction between individual </w:t>
      </w:r>
      <w:r w:rsidR="00B00B91">
        <w:t xml:space="preserve">wellbeing </w:t>
      </w:r>
      <w:r w:rsidR="007F5B7B">
        <w:t xml:space="preserve">and </w:t>
      </w:r>
      <w:r w:rsidR="00B00B91">
        <w:t>the quality of</w:t>
      </w:r>
      <w:r w:rsidR="0012583E">
        <w:t xml:space="preserve"> national</w:t>
      </w:r>
      <w:r w:rsidR="00B00B91">
        <w:t xml:space="preserve"> living standards</w:t>
      </w:r>
      <w:r w:rsidR="007F5B7B">
        <w:t xml:space="preserve">. </w:t>
      </w:r>
      <w:r w:rsidR="00931F50">
        <w:t>E</w:t>
      </w:r>
      <w:r w:rsidR="007F5B7B">
        <w:t xml:space="preserve">conomic and social indicators </w:t>
      </w:r>
      <w:r w:rsidR="00176BA4">
        <w:t>represent population wellbeing through</w:t>
      </w:r>
      <w:r w:rsidR="007F5B7B">
        <w:t xml:space="preserve"> standards of living and quality of life. Whereas, individual wellbeing refers to how people are feeling and functioning and includes concepts such as</w:t>
      </w:r>
      <w:r>
        <w:t xml:space="preserve"> mental ill-being, subjective wellbeing, hedonia, eudaimonia, and flourishing.</w:t>
      </w:r>
      <w:r w:rsidR="00931F50">
        <w:t xml:space="preserve"> Each of these concepts represent important aspects of a broad definition of wellbeing.</w:t>
      </w:r>
    </w:p>
    <w:p w14:paraId="33AB51C8" w14:textId="06046BC9" w:rsidR="003712D7" w:rsidRDefault="000A3C3F" w:rsidP="002F6158">
      <w:pPr>
        <w:spacing w:line="360" w:lineRule="auto"/>
      </w:pPr>
      <w:r>
        <w:t>M</w:t>
      </w:r>
      <w:r w:rsidR="009A3A3C">
        <w:t xml:space="preserve">ental ill-being, emphasis being on the ‘ill’, </w:t>
      </w:r>
      <w:r w:rsidR="00586914">
        <w:t xml:space="preserve">focusses </w:t>
      </w:r>
      <w:r w:rsidR="009A3A3C">
        <w:t xml:space="preserve">on pathology and fits within a </w:t>
      </w:r>
      <w:r>
        <w:t xml:space="preserve">deficit </w:t>
      </w:r>
      <w:r w:rsidR="009A3A3C">
        <w:t>model</w:t>
      </w:r>
      <w:r>
        <w:t xml:space="preserve"> of disease</w:t>
      </w:r>
      <w:r w:rsidR="009A3A3C">
        <w:t xml:space="preserve"> (Seligman &amp; Csikszentmihalyi, 2000).</w:t>
      </w:r>
      <w:r>
        <w:t xml:space="preserve"> Mental ill-being includes the major depressive disorders, such as anxiety, depression and personality disorders</w:t>
      </w:r>
      <w:r w:rsidR="0066379C">
        <w:t xml:space="preserve">. </w:t>
      </w:r>
      <w:r w:rsidR="00931F50">
        <w:t xml:space="preserve">While it is difficult for one to flourish in life whilst experiencing a degree of mental ill-being, </w:t>
      </w:r>
      <w:r w:rsidR="0066379C">
        <w:t xml:space="preserve">wellbeing is more than </w:t>
      </w:r>
      <w:r w:rsidR="00931F50">
        <w:t xml:space="preserve">simply </w:t>
      </w:r>
      <w:r w:rsidR="0066379C">
        <w:t>the absence of disease</w:t>
      </w:r>
      <w:r w:rsidR="00931F50">
        <w:t>, and there are other more positive reflections of how ‘well’ one is</w:t>
      </w:r>
      <w:r w:rsidR="0066379C">
        <w:t xml:space="preserve">. </w:t>
      </w:r>
      <w:r w:rsidR="00FF39CA">
        <w:t xml:space="preserve">Subjective </w:t>
      </w:r>
      <w:r w:rsidR="009A3A3C">
        <w:t xml:space="preserve">wellbeing refers to one’s own interpretation of how their life is </w:t>
      </w:r>
      <w:r w:rsidR="00586914">
        <w:t>going;</w:t>
      </w:r>
      <w:r w:rsidR="009A3A3C">
        <w:t xml:space="preserve"> this in particular is a diverse and growing area of research and interest in the academic world and beyond (Seligman &amp; Csikszentmihalyi, 2000</w:t>
      </w:r>
      <w:r w:rsidR="00E23BBE">
        <w:t xml:space="preserve">). </w:t>
      </w:r>
      <w:r w:rsidR="00E23BBE" w:rsidRPr="00435DA3">
        <w:t xml:space="preserve">Subjective wellbeing is often mistaken for happiness, however subjective wellbeing is a much broader </w:t>
      </w:r>
      <w:r w:rsidR="00931F50" w:rsidRPr="00435DA3">
        <w:t>evaluation of life</w:t>
      </w:r>
      <w:r w:rsidR="00E23BBE" w:rsidRPr="00435DA3">
        <w:t>, comprising of many different facets of one’s personal state of being</w:t>
      </w:r>
      <w:r w:rsidR="00435DA3">
        <w:t xml:space="preserve"> including</w:t>
      </w:r>
      <w:r w:rsidR="00435DA3" w:rsidRPr="00435DA3">
        <w:t xml:space="preserve"> life evaluations, emotions, and psychological function</w:t>
      </w:r>
      <w:r w:rsidR="00E23BBE">
        <w:t xml:space="preserve"> (OECD, 2013).</w:t>
      </w:r>
    </w:p>
    <w:p w14:paraId="4E6D34B4" w14:textId="2F173379" w:rsidR="006E0D1B" w:rsidRDefault="00FF39CA" w:rsidP="002F6158">
      <w:pPr>
        <w:spacing w:line="360" w:lineRule="auto"/>
      </w:pPr>
      <w:r>
        <w:t>Beyond mental ill-being and subjective wellbeing are the concepts of Hedonia and Eudaimonia</w:t>
      </w:r>
      <w:r w:rsidR="00586914">
        <w:t>,</w:t>
      </w:r>
      <w:r>
        <w:t xml:space="preserve"> which are key to a flourishing life. Hedonia </w:t>
      </w:r>
      <w:r w:rsidR="009A3A3C">
        <w:t xml:space="preserve">is a subjective measure of happiness, positive affect and life satisfaction (Fowers, Mollica, &amp; Procacci, 2010; Ryff &amp; Singer, 2008; Keyes, 2002); put simply, it </w:t>
      </w:r>
      <w:r>
        <w:t xml:space="preserve">emphasises the maximisation </w:t>
      </w:r>
      <w:r w:rsidR="00DB615D">
        <w:t>of pleasurable</w:t>
      </w:r>
      <w:r w:rsidR="009A3A3C">
        <w:t xml:space="preserve"> feelings </w:t>
      </w:r>
      <w:r>
        <w:t xml:space="preserve">and minimisation of suffering </w:t>
      </w:r>
      <w:r w:rsidR="009A3A3C">
        <w:t xml:space="preserve">(Peterson, Park, &amp; Seligman, 2005). Eudaimonia, on the other hand, is discussed as living life to one’s full potential and expression of self, living life with purpose and developing positive relationships (Fowers et al., 2010; Ryff &amp; Singer, 2008; Keyes, 2002; Peterson et al., 2005); put simply, it is about functioning well in life. </w:t>
      </w:r>
      <w:r>
        <w:t>The concept of</w:t>
      </w:r>
      <w:r w:rsidR="008B5F84">
        <w:t xml:space="preserve"> having</w:t>
      </w:r>
      <w:r>
        <w:t xml:space="preserve"> optimal wellbeing as one who is flourishing </w:t>
      </w:r>
      <w:r w:rsidR="009A3A3C">
        <w:t>is a combination of all of the above</w:t>
      </w:r>
      <w:r>
        <w:t xml:space="preserve">; </w:t>
      </w:r>
      <w:r w:rsidR="009A3A3C">
        <w:t>if you are experiencing pleasurable feelings and living life to your full potential, are resilient in the face of adversity, and have good social relationships, then you can be said to be ‘flourishing’ in li</w:t>
      </w:r>
      <w:r w:rsidR="00E23BBE">
        <w:t>fe (</w:t>
      </w:r>
      <w:proofErr w:type="spellStart"/>
      <w:r w:rsidR="00E23BBE">
        <w:t>Huta</w:t>
      </w:r>
      <w:proofErr w:type="spellEnd"/>
      <w:r w:rsidR="00E23BBE">
        <w:t xml:space="preserve"> &amp; Waterman, 2013</w:t>
      </w:r>
      <w:r w:rsidR="009A3A3C">
        <w:t xml:space="preserve">). </w:t>
      </w:r>
      <w:r w:rsidR="009403CC">
        <w:t xml:space="preserve"> </w:t>
      </w:r>
      <w:r w:rsidR="00931F50">
        <w:t xml:space="preserve">It is this concept of flourishing that most accurately represents how </w:t>
      </w:r>
      <w:r w:rsidR="00931F50" w:rsidRPr="00F4745F">
        <w:rPr>
          <w:i/>
        </w:rPr>
        <w:t>well</w:t>
      </w:r>
      <w:r w:rsidR="00931F50">
        <w:t xml:space="preserve"> people are feel</w:t>
      </w:r>
      <w:r w:rsidR="008B5F84">
        <w:t>ing and functioning in their liv</w:t>
      </w:r>
      <w:r w:rsidR="00931F50">
        <w:t>e</w:t>
      </w:r>
      <w:r w:rsidR="008B5F84">
        <w:t>s</w:t>
      </w:r>
      <w:r w:rsidR="00931F50">
        <w:t xml:space="preserve">. </w:t>
      </w:r>
      <w:r w:rsidR="00586914">
        <w:t xml:space="preserve">This model of </w:t>
      </w:r>
      <w:r w:rsidR="00093541">
        <w:t>flourishing</w:t>
      </w:r>
      <w:r w:rsidR="00586914">
        <w:t xml:space="preserve"> is summarised in the New Economics Foundation </w:t>
      </w:r>
      <w:r w:rsidR="00F4745F">
        <w:t xml:space="preserve">(nef) </w:t>
      </w:r>
      <w:r w:rsidR="00586914">
        <w:t xml:space="preserve">dynamic model of wellbeing, as depicted in Figure </w:t>
      </w:r>
      <w:r w:rsidR="00F4745F">
        <w:t>1</w:t>
      </w:r>
      <w:r w:rsidR="004D7542">
        <w:t xml:space="preserve"> (Michaelson, Mahony, &amp; Schifferes, 2012)</w:t>
      </w:r>
      <w:r w:rsidR="00586914">
        <w:t>.</w:t>
      </w:r>
    </w:p>
    <w:p w14:paraId="4E8BCF6E" w14:textId="77777777" w:rsidR="00586914" w:rsidRDefault="00586914" w:rsidP="00F4745F">
      <w:pPr>
        <w:jc w:val="center"/>
      </w:pPr>
      <w:r>
        <w:rPr>
          <w:noProof/>
          <w:lang w:eastAsia="en-NZ"/>
        </w:rPr>
        <w:lastRenderedPageBreak/>
        <w:drawing>
          <wp:inline distT="0" distB="0" distL="0" distR="0" wp14:anchorId="5C5D4E5C" wp14:editId="0293FD63">
            <wp:extent cx="5731510" cy="467296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4672965"/>
                    </a:xfrm>
                    <a:prstGeom prst="rect">
                      <a:avLst/>
                    </a:prstGeom>
                  </pic:spPr>
                </pic:pic>
              </a:graphicData>
            </a:graphic>
          </wp:inline>
        </w:drawing>
      </w:r>
    </w:p>
    <w:p w14:paraId="52E5FA95" w14:textId="67AE91AB" w:rsidR="00F4745F" w:rsidRPr="00F4745F" w:rsidRDefault="00F4745F" w:rsidP="00B50498">
      <w:r w:rsidRPr="00F4745F">
        <w:t xml:space="preserve">Figure 1. </w:t>
      </w:r>
      <w:proofErr w:type="gramStart"/>
      <w:r>
        <w:t>nef’s</w:t>
      </w:r>
      <w:proofErr w:type="gramEnd"/>
      <w:r>
        <w:t xml:space="preserve"> dynamic model of wellbeing</w:t>
      </w:r>
    </w:p>
    <w:p w14:paraId="64A19A55" w14:textId="5BCAF64D" w:rsidR="00586914" w:rsidRDefault="00586914" w:rsidP="00B50498">
      <w:pPr>
        <w:rPr>
          <w:i/>
        </w:rPr>
      </w:pPr>
      <w:r>
        <w:rPr>
          <w:i/>
        </w:rPr>
        <w:t xml:space="preserve">Source: </w:t>
      </w:r>
      <w:r w:rsidR="002F6158">
        <w:rPr>
          <w:i/>
        </w:rPr>
        <w:t>Michaelson et al.</w:t>
      </w:r>
      <w:r w:rsidRPr="00F4745F">
        <w:rPr>
          <w:i/>
        </w:rPr>
        <w:t xml:space="preserve"> (2012)</w:t>
      </w:r>
    </w:p>
    <w:p w14:paraId="7A8941D5" w14:textId="77777777" w:rsidR="00F4745F" w:rsidRPr="00F4745F" w:rsidRDefault="00F4745F" w:rsidP="00B50498">
      <w:pPr>
        <w:rPr>
          <w:i/>
        </w:rPr>
      </w:pPr>
    </w:p>
    <w:p w14:paraId="26AA93E2" w14:textId="77777777" w:rsidR="00B50498" w:rsidRPr="00931F50" w:rsidRDefault="00E1238B" w:rsidP="004D7542">
      <w:pPr>
        <w:spacing w:line="360" w:lineRule="auto"/>
        <w:rPr>
          <w:i/>
        </w:rPr>
      </w:pPr>
      <w:r w:rsidRPr="00931F50">
        <w:rPr>
          <w:i/>
        </w:rPr>
        <w:t>The benefits of a flourishing society</w:t>
      </w:r>
    </w:p>
    <w:p w14:paraId="78F8193E" w14:textId="59F9B621" w:rsidR="0012637A" w:rsidRPr="00995252" w:rsidRDefault="0012637A" w:rsidP="004D7542">
      <w:pPr>
        <w:spacing w:line="360" w:lineRule="auto"/>
      </w:pPr>
      <w:r w:rsidRPr="00726766">
        <w:t>Research has shown that people with higher wellbeing tend to have better health, are better equipped to cope with adversity, are more productive, and have stronger social relationships</w:t>
      </w:r>
      <w:r w:rsidR="00F659D5" w:rsidRPr="00726766">
        <w:t xml:space="preserve"> (Diener</w:t>
      </w:r>
      <w:r w:rsidR="009202C6">
        <w:t>,</w:t>
      </w:r>
      <w:r w:rsidR="00F659D5" w:rsidRPr="00726766">
        <w:t xml:space="preserve"> 2000; </w:t>
      </w:r>
      <w:r w:rsidR="00F659D5" w:rsidRPr="00E76A92">
        <w:t>Graham</w:t>
      </w:r>
      <w:r w:rsidR="009202C6" w:rsidRPr="00E76A92">
        <w:t>,</w:t>
      </w:r>
      <w:r w:rsidR="00F659D5" w:rsidRPr="00E76A92">
        <w:t xml:space="preserve"> 2009</w:t>
      </w:r>
      <w:r w:rsidR="00F659D5" w:rsidRPr="00726766">
        <w:t>).</w:t>
      </w:r>
      <w:r w:rsidRPr="00726766">
        <w:t xml:space="preserve"> </w:t>
      </w:r>
      <w:r w:rsidR="00F659D5" w:rsidRPr="00726766">
        <w:t xml:space="preserve">In addition, wellbeing among individuals can have </w:t>
      </w:r>
      <w:r w:rsidR="00846A7C" w:rsidRPr="00726766">
        <w:t>spill over</w:t>
      </w:r>
      <w:r w:rsidR="00F659D5" w:rsidRPr="00726766">
        <w:t xml:space="preserve"> benefits for larger</w:t>
      </w:r>
      <w:r w:rsidR="00571340">
        <w:t xml:space="preserve"> social networks (</w:t>
      </w:r>
      <w:r w:rsidR="00571340" w:rsidRPr="00EC78BE">
        <w:t>Christakis &amp;</w:t>
      </w:r>
      <w:r w:rsidR="00F659D5" w:rsidRPr="00EC78BE">
        <w:t xml:space="preserve"> Fowler</w:t>
      </w:r>
      <w:r w:rsidR="00836472" w:rsidRPr="00EC78BE">
        <w:t>,</w:t>
      </w:r>
      <w:r w:rsidR="00F659D5" w:rsidRPr="00EC78BE">
        <w:t xml:space="preserve"> 2009</w:t>
      </w:r>
      <w:r w:rsidR="00F659D5" w:rsidRPr="00726766">
        <w:t>) an</w:t>
      </w:r>
      <w:r w:rsidR="009202C6">
        <w:t>d for society as a whole (Diener,</w:t>
      </w:r>
      <w:r w:rsidR="00F659D5" w:rsidRPr="00726766">
        <w:t xml:space="preserve"> 2006).</w:t>
      </w:r>
      <w:r w:rsidR="00931F50">
        <w:t xml:space="preserve"> </w:t>
      </w:r>
      <w:r w:rsidRPr="00726766">
        <w:t>It is therefore unsurprising that governments are i</w:t>
      </w:r>
      <w:r w:rsidR="00A33AAA">
        <w:t>ncreasingly becoming interested</w:t>
      </w:r>
      <w:r w:rsidRPr="00726766">
        <w:t xml:space="preserve"> in how well its’ citizens are faring</w:t>
      </w:r>
      <w:r w:rsidR="00931F50">
        <w:t xml:space="preserve">, </w:t>
      </w:r>
      <w:r w:rsidRPr="00F4745F">
        <w:t>what factors are associated with high</w:t>
      </w:r>
      <w:r w:rsidR="00931F50">
        <w:t xml:space="preserve"> </w:t>
      </w:r>
      <w:r w:rsidR="00931F50" w:rsidRPr="00A33AAA">
        <w:t xml:space="preserve">or </w:t>
      </w:r>
      <w:r w:rsidRPr="00A33AAA">
        <w:t>low wellbeing, and what can be done to improve the wellbeing of its people.</w:t>
      </w:r>
      <w:r w:rsidR="00B91DC6" w:rsidRPr="00A33AAA">
        <w:t xml:space="preserve"> </w:t>
      </w:r>
      <w:r w:rsidR="00931F50" w:rsidRPr="00A33AAA">
        <w:t xml:space="preserve">In particular, the benefits </w:t>
      </w:r>
      <w:r w:rsidR="00931F50">
        <w:t xml:space="preserve">of wellbeing </w:t>
      </w:r>
      <w:r w:rsidR="00931F50" w:rsidRPr="00995252">
        <w:t>for health, social cohesion</w:t>
      </w:r>
      <w:r w:rsidR="00846A7C">
        <w:t>,</w:t>
      </w:r>
      <w:r w:rsidR="00931F50" w:rsidRPr="00995252">
        <w:t xml:space="preserve"> and national economy are of great interest for health professionals, economists, and policy makers alike.</w:t>
      </w:r>
      <w:r w:rsidR="008625E0">
        <w:t xml:space="preserve"> </w:t>
      </w:r>
    </w:p>
    <w:p w14:paraId="60ED5F0D" w14:textId="41CDB89E" w:rsidR="004E018F" w:rsidRPr="00FB5596" w:rsidRDefault="00B54C2E" w:rsidP="004D7542">
      <w:pPr>
        <w:spacing w:line="360" w:lineRule="auto"/>
        <w:rPr>
          <w:color w:val="FF0000"/>
        </w:rPr>
      </w:pPr>
      <w:r>
        <w:t>Although it has been known for a long time that psychological and physical health are linked, much of the previous research in this area has focussed on how states of ill-being</w:t>
      </w:r>
      <w:r w:rsidR="009403CC">
        <w:t>, as opposed to flourishing,</w:t>
      </w:r>
      <w:r>
        <w:t xml:space="preserve"> </w:t>
      </w:r>
      <w:r w:rsidR="00726766">
        <w:t>affect</w:t>
      </w:r>
      <w:r w:rsidR="009403CC">
        <w:t xml:space="preserve"> physical health </w:t>
      </w:r>
      <w:r>
        <w:t>(Boehm &amp; Kubzansky, 2012; Cohen, Doyle, Turner, Alper, &amp; Skoner, 2003). More recent research, however, has shown a link between positive affective states</w:t>
      </w:r>
      <w:r w:rsidR="009403CC">
        <w:t xml:space="preserve"> (i.e., happiness)</w:t>
      </w:r>
      <w:r>
        <w:t>,</w:t>
      </w:r>
      <w:r w:rsidR="00726766">
        <w:t xml:space="preserve"> and</w:t>
      </w:r>
      <w:r w:rsidR="00A81A7E">
        <w:t xml:space="preserve"> physiological health</w:t>
      </w:r>
      <w:r>
        <w:t xml:space="preserve"> (Cohen &amp; Pressman, 2006). Boehm and Kubzansky (2012) found that high </w:t>
      </w:r>
      <w:r>
        <w:lastRenderedPageBreak/>
        <w:t>levels of hedonic wellbeing were associated with a lower likelihood of developing cardiovascular disease; similarly, Blanchflower &amp; Oswald (2008) gathered evidence from 16 countries, concluding that countries who measure higher in happiness and life satisfaction have lower rates of hypertension. An interesting study on longevity was undertaken with a group of 180 nuns; the emotional content of autobiographies</w:t>
      </w:r>
      <w:r w:rsidR="0038661A">
        <w:t>,</w:t>
      </w:r>
      <w:r>
        <w:t xml:space="preserve"> which they had written in their twenties</w:t>
      </w:r>
      <w:r w:rsidR="00093541">
        <w:t>,</w:t>
      </w:r>
      <w:r>
        <w:t xml:space="preserve"> were scored and compared with age of death between 75 and 95 years. Longer life was significantly associated with a high level of positive emotion in their young adult writings (Danner, Snowdon, &amp; Friedman, 2001). On a smaller scale, Cohen et al (2003) tested and </w:t>
      </w:r>
      <w:r w:rsidR="00093541">
        <w:t xml:space="preserve">substantiated </w:t>
      </w:r>
      <w:r>
        <w:t>the theory that positive affect may be protective against the common cold. Participants who reported higher levels of positive emotion had increased resistance against infection, lower levels of stress hormones and less reported symptoms than those experiencing a higher level of negative emotions</w:t>
      </w:r>
      <w:r w:rsidRPr="004E018F">
        <w:t xml:space="preserve">. </w:t>
      </w:r>
      <w:r w:rsidR="00A81A7E" w:rsidRPr="004E018F">
        <w:t>Non-communicable diseases</w:t>
      </w:r>
      <w:r w:rsidR="004E018F" w:rsidRPr="004E018F">
        <w:t>, particularly cardiovascular disease and mental illness, are responsible for vast economic burden across many countries</w:t>
      </w:r>
      <w:r w:rsidR="004E018F">
        <w:t xml:space="preserve"> (</w:t>
      </w:r>
      <w:r w:rsidR="00034050">
        <w:t>World Economic Forum, 2011</w:t>
      </w:r>
      <w:r w:rsidR="004E018F">
        <w:t>)</w:t>
      </w:r>
      <w:r w:rsidR="004E018F" w:rsidRPr="004E018F">
        <w:t>.</w:t>
      </w:r>
      <w:r w:rsidR="00FB5596" w:rsidRPr="004E018F">
        <w:t xml:space="preserve"> </w:t>
      </w:r>
      <w:r w:rsidR="00093541">
        <w:t>While m</w:t>
      </w:r>
      <w:r w:rsidR="004E018F" w:rsidRPr="00805719">
        <w:t xml:space="preserve">easuring population wellbeing is not a simple fix, greater understanding of </w:t>
      </w:r>
      <w:r w:rsidR="00222EF0" w:rsidRPr="00805719">
        <w:t xml:space="preserve">the association between </w:t>
      </w:r>
      <w:r w:rsidR="009D623E" w:rsidRPr="00805719">
        <w:t xml:space="preserve">citizens’ affective </w:t>
      </w:r>
      <w:r w:rsidR="00222EF0" w:rsidRPr="00805719">
        <w:t xml:space="preserve">and physical </w:t>
      </w:r>
      <w:r w:rsidR="009D623E" w:rsidRPr="00805719">
        <w:t xml:space="preserve">states </w:t>
      </w:r>
      <w:r w:rsidR="00222EF0" w:rsidRPr="00805719">
        <w:t>could be a step towards a healthier and more economically stable future for a nation.</w:t>
      </w:r>
      <w:r w:rsidR="009D623E" w:rsidRPr="00805719">
        <w:t xml:space="preserve"> </w:t>
      </w:r>
    </w:p>
    <w:p w14:paraId="0D64558F" w14:textId="274BC357" w:rsidR="00031E7B" w:rsidRDefault="00031E7B" w:rsidP="004D7542">
      <w:pPr>
        <w:spacing w:line="360" w:lineRule="auto"/>
      </w:pPr>
      <w:r>
        <w:t xml:space="preserve">A high level of subjective wellbeing is </w:t>
      </w:r>
      <w:r w:rsidR="00196115">
        <w:t xml:space="preserve">also </w:t>
      </w:r>
      <w:r>
        <w:t xml:space="preserve">strongly indicative of positive social relationships and behaviour; this brings benefit at both an individual and a society level. Feeling happy </w:t>
      </w:r>
      <w:r w:rsidR="00BC640B">
        <w:t>has been shown to lead one</w:t>
      </w:r>
      <w:r>
        <w:t xml:space="preserve"> to be more externally</w:t>
      </w:r>
      <w:r w:rsidR="00093541">
        <w:t xml:space="preserve"> </w:t>
      </w:r>
      <w:r>
        <w:t>focussed, a</w:t>
      </w:r>
      <w:r w:rsidR="009D24E1">
        <w:t>s</w:t>
      </w:r>
      <w:r>
        <w:t xml:space="preserve"> energy</w:t>
      </w:r>
      <w:r w:rsidR="009D24E1">
        <w:t xml:space="preserve"> does not need to be spent</w:t>
      </w:r>
      <w:r>
        <w:t xml:space="preserve"> on self-protection (Green, Sedikides, Saltzberg, Wood, &amp; Forzano, 2003). </w:t>
      </w:r>
      <w:r w:rsidR="00BC640B">
        <w:t xml:space="preserve">A direct observational study of </w:t>
      </w:r>
      <w:r>
        <w:t xml:space="preserve">79 undergraduate </w:t>
      </w:r>
      <w:r w:rsidR="00726766">
        <w:t>students, found</w:t>
      </w:r>
      <w:r>
        <w:t xml:space="preserve"> that those with higher levels of self-rated wellbeing spent less time alone, more time speaking with others, and more time in deep conversation rather than small talk (Mehl, Vazire, Holleran, &amp; Clark, 2010). Happiness is also associated with a higher tendency to donate time and money (Aknin, Dunn, &amp; Norton, 2012), and being a better neighbour, colleague and citizen (De Neve, Diener, Tay, Xuereb, 2013). Social cohesion is a hugely important determinant of a well-functioning society, it refers to a society having common goals and values, a sense of identity and working together towards further equality and</w:t>
      </w:r>
      <w:r w:rsidR="00375C7F">
        <w:t xml:space="preserve"> harmony (Forrest &amp; Kearns, 2001</w:t>
      </w:r>
      <w:r>
        <w:t xml:space="preserve">). It </w:t>
      </w:r>
      <w:r w:rsidR="00155AA6">
        <w:t>is</w:t>
      </w:r>
      <w:r>
        <w:t xml:space="preserve"> argued that social cohesion is decreasing within many societies du</w:t>
      </w:r>
      <w:r w:rsidR="009D24E1">
        <w:t xml:space="preserve">e to people living more </w:t>
      </w:r>
      <w:r>
        <w:t>independ</w:t>
      </w:r>
      <w:r w:rsidR="00375C7F">
        <w:t>ent</w:t>
      </w:r>
      <w:r w:rsidR="00093541">
        <w:t>ly</w:t>
      </w:r>
      <w:r w:rsidR="00375C7F">
        <w:t xml:space="preserve"> (Forrest &amp; Kearns, 200</w:t>
      </w:r>
      <w:r>
        <w:t>1). Within a flourishing society</w:t>
      </w:r>
      <w:r w:rsidR="00093541">
        <w:t>,</w:t>
      </w:r>
      <w:r>
        <w:t xml:space="preserve"> it is likely that social cohesion would increase for the reasons discussed above; happy people are more externally focussed and more likely to exhibit prosocial behaviour. A larger focus on wellbeing and flourishing measurement may be a step in the right direction toward further social cohesion in New Zealand.</w:t>
      </w:r>
    </w:p>
    <w:p w14:paraId="5D330EA3" w14:textId="736524FF" w:rsidR="00F738A5" w:rsidRDefault="00931F50" w:rsidP="004D7542">
      <w:pPr>
        <w:spacing w:line="360" w:lineRule="auto"/>
      </w:pPr>
      <w:r>
        <w:t xml:space="preserve">The association between money and happiness has long been of interest to individuals, academics, </w:t>
      </w:r>
      <w:r w:rsidR="00093541">
        <w:t xml:space="preserve">economists, </w:t>
      </w:r>
      <w:r>
        <w:t xml:space="preserve">and government. </w:t>
      </w:r>
      <w:r w:rsidR="00F738A5">
        <w:t>Much of the research relating happiness to income has been unidirectional, focussing on the effect of money earnt on wellb</w:t>
      </w:r>
      <w:r w:rsidR="00AC7502">
        <w:t>eing outcomes. However, the literature</w:t>
      </w:r>
      <w:r w:rsidR="00F738A5">
        <w:t xml:space="preserve"> suggests there may</w:t>
      </w:r>
      <w:r w:rsidR="00BC640B">
        <w:t xml:space="preserve"> also</w:t>
      </w:r>
      <w:r w:rsidR="00F738A5">
        <w:t xml:space="preserve"> be </w:t>
      </w:r>
      <w:r w:rsidR="009D24E1">
        <w:t xml:space="preserve">some </w:t>
      </w:r>
      <w:r w:rsidR="00F738A5">
        <w:t xml:space="preserve">reverse causation. Happy people tend to work harder (Oswald, Proto, &amp; Sgroi, 2009), more creatively (Amabile, Barsade, Mueller, &amp; Staw, 2005) and more co-operatively (Barsade, 2002). Positive feelings create motivation and perseverance, leading to productivity within the workplace (Luthans &amp; church, 2002). George (1995) found that a positive leader brings better work performance among team members. De Neve &amp; Oswald (2012) suggest a </w:t>
      </w:r>
      <w:r w:rsidR="00F738A5">
        <w:lastRenderedPageBreak/>
        <w:t>causal relationship between wellbeing and income; in their longitudinal study they found that a decade after wellbeing measurement, those who had measured with higher life satisfaction</w:t>
      </w:r>
      <w:r w:rsidR="00BC640B">
        <w:t xml:space="preserve"> at baseline</w:t>
      </w:r>
      <w:r w:rsidR="00F738A5">
        <w:t xml:space="preserve"> were receiving higher incomes</w:t>
      </w:r>
      <w:r w:rsidR="00D01495">
        <w:t xml:space="preserve"> at follow-up than those who had reported lower life satisfaction</w:t>
      </w:r>
      <w:r w:rsidR="00F738A5">
        <w:t xml:space="preserve">. They propose at a broader level, that a population high in positive affect may naturally have more earning potential, leading to an economically healthy nation (De Neve &amp; Oswald, 2012). Oswald et al (2009) agree with this, suggesting that the wellbeing-productivity link is in play at a macroeconomic level. </w:t>
      </w:r>
      <w:r w:rsidR="00093541">
        <w:t>W</w:t>
      </w:r>
      <w:r w:rsidR="00F738A5">
        <w:t>ithin a flourishing society, it is likely that citizens will have higher personal income potential, leading to benefits</w:t>
      </w:r>
      <w:r w:rsidR="009D24E1">
        <w:t xml:space="preserve"> for companies</w:t>
      </w:r>
      <w:r w:rsidR="00F738A5">
        <w:t xml:space="preserve">, and economic benefits for the nation. </w:t>
      </w:r>
    </w:p>
    <w:p w14:paraId="0AC56C31" w14:textId="77777777" w:rsidR="00B50498" w:rsidRDefault="00E1238B" w:rsidP="004D7542">
      <w:pPr>
        <w:spacing w:line="360" w:lineRule="auto"/>
        <w:rPr>
          <w:i/>
        </w:rPr>
      </w:pPr>
      <w:r>
        <w:rPr>
          <w:i/>
        </w:rPr>
        <w:t xml:space="preserve">How </w:t>
      </w:r>
      <w:r w:rsidR="00310016">
        <w:rPr>
          <w:i/>
        </w:rPr>
        <w:t>population</w:t>
      </w:r>
      <w:r>
        <w:rPr>
          <w:i/>
        </w:rPr>
        <w:t xml:space="preserve"> wellbeing is measured</w:t>
      </w:r>
    </w:p>
    <w:p w14:paraId="52D459A2" w14:textId="46963EE7" w:rsidR="008D40DB" w:rsidRDefault="00265909" w:rsidP="004D7542">
      <w:pPr>
        <w:spacing w:line="360" w:lineRule="auto"/>
      </w:pPr>
      <w:r>
        <w:t>Historically, n</w:t>
      </w:r>
      <w:r w:rsidR="00571B0D">
        <w:t xml:space="preserve">ational monitoring of individual wellbeing has largely focussed on ill-being </w:t>
      </w:r>
      <w:r w:rsidR="00921F14">
        <w:t>or a single measure of</w:t>
      </w:r>
      <w:r w:rsidR="00571B0D">
        <w:t xml:space="preserve"> life satisfaction. There is extensive research on the patterns, causes, and effects of mental ill-being</w:t>
      </w:r>
      <w:r w:rsidR="00FB6D2C">
        <w:t xml:space="preserve"> (Seligman &amp; Csikszentmihalyi, 2000)</w:t>
      </w:r>
      <w:r w:rsidR="008D40DB">
        <w:t>.</w:t>
      </w:r>
      <w:r w:rsidR="00802224">
        <w:t xml:space="preserve"> As discussed above, wellbeing is not as simple as being with or without ill-being. Even in the absence of mental illness, there are </w:t>
      </w:r>
      <w:r w:rsidR="00C72D50">
        <w:t xml:space="preserve">multiple </w:t>
      </w:r>
      <w:r w:rsidR="00802224">
        <w:t xml:space="preserve">factors </w:t>
      </w:r>
      <w:r w:rsidR="00C72D50">
        <w:t xml:space="preserve">that </w:t>
      </w:r>
      <w:r w:rsidR="00802224">
        <w:t xml:space="preserve">can affect the degree to which one is flourishing. It is positive that single-measure life satisfaction questions are widely used to measure wellbeing across surveys. </w:t>
      </w:r>
      <w:r w:rsidR="00802224" w:rsidRPr="008418ED">
        <w:t>However, one br</w:t>
      </w:r>
      <w:r w:rsidR="009460D6" w:rsidRPr="008418ED">
        <w:t>oad measure is not sufficient to represent t</w:t>
      </w:r>
      <w:r w:rsidR="00020734" w:rsidRPr="008418ED">
        <w:t>he full bread</w:t>
      </w:r>
      <w:r w:rsidR="009460D6" w:rsidRPr="008418ED">
        <w:t>th of a population’s wellbeing</w:t>
      </w:r>
      <w:r w:rsidR="008418ED">
        <w:t xml:space="preserve"> (OECD, 2013)</w:t>
      </w:r>
      <w:r w:rsidR="00020734">
        <w:t>.</w:t>
      </w:r>
      <w:r w:rsidR="00802224">
        <w:t xml:space="preserve"> Advances in </w:t>
      </w:r>
      <w:r w:rsidR="001A45FD">
        <w:t xml:space="preserve">scientific </w:t>
      </w:r>
      <w:r w:rsidR="00802224">
        <w:t xml:space="preserve">measurement of wellbeing mean that population-wide studies can </w:t>
      </w:r>
      <w:r w:rsidR="004E4341">
        <w:t>undertake</w:t>
      </w:r>
      <w:r w:rsidR="00802224">
        <w:t xml:space="preserve"> meaningful assessment of wellbeing as a multi-dimensional construct.</w:t>
      </w:r>
      <w:r w:rsidR="001A45FD">
        <w:t xml:space="preserve"> These advances </w:t>
      </w:r>
      <w:r w:rsidR="008625E0">
        <w:t xml:space="preserve">led to the </w:t>
      </w:r>
      <w:r w:rsidR="005D25D3">
        <w:t>2013</w:t>
      </w:r>
      <w:r w:rsidR="008625E0">
        <w:t xml:space="preserve"> OECD publication of </w:t>
      </w:r>
      <w:r w:rsidR="005D25D3">
        <w:t>‘best practice’ guidelines on the measurement of subjective wellbeing</w:t>
      </w:r>
      <w:r w:rsidR="004E4341">
        <w:t>; these guidelines</w:t>
      </w:r>
      <w:r w:rsidR="008625E0">
        <w:t xml:space="preserve"> aim to </w:t>
      </w:r>
      <w:r w:rsidR="005D25D3">
        <w:t>bring further consistency</w:t>
      </w:r>
      <w:r w:rsidR="00020734">
        <w:t xml:space="preserve"> and therefore comparability</w:t>
      </w:r>
      <w:r w:rsidR="005D25D3">
        <w:t xml:space="preserve"> to wellbeing measurement across nations (OECD, 2013). </w:t>
      </w:r>
      <w:r w:rsidR="001A45FD">
        <w:t>Th</w:t>
      </w:r>
      <w:r w:rsidR="005D25D3">
        <w:t>e</w:t>
      </w:r>
      <w:r w:rsidR="008625E0">
        <w:t xml:space="preserve"> guidelines</w:t>
      </w:r>
      <w:r w:rsidR="005D25D3">
        <w:t xml:space="preserve"> provide a framework for those working with </w:t>
      </w:r>
      <w:r w:rsidR="008625E0">
        <w:t xml:space="preserve">national </w:t>
      </w:r>
      <w:r w:rsidR="001A45FD">
        <w:t>wellbeing data and</w:t>
      </w:r>
      <w:r w:rsidR="00781A4B">
        <w:t xml:space="preserve"> are aimed specifically at</w:t>
      </w:r>
      <w:r w:rsidR="001A45FD">
        <w:t xml:space="preserve"> N</w:t>
      </w:r>
      <w:r w:rsidR="005D25D3">
        <w:t>at</w:t>
      </w:r>
      <w:r w:rsidR="001A45FD">
        <w:t>ional Statistics O</w:t>
      </w:r>
      <w:r w:rsidR="00781A4B">
        <w:t>ffices</w:t>
      </w:r>
      <w:r w:rsidR="005D25D3">
        <w:t xml:space="preserve">. The guidelines include direction in terms of </w:t>
      </w:r>
      <w:r w:rsidR="00F50088">
        <w:t>survey design, data collection</w:t>
      </w:r>
      <w:r w:rsidR="004E4341">
        <w:t>,</w:t>
      </w:r>
      <w:r w:rsidR="00F50088">
        <w:t xml:space="preserve"> and dissemination of subjective wellbeing data. As w</w:t>
      </w:r>
      <w:r w:rsidR="00F27551">
        <w:t xml:space="preserve">ell as improving national </w:t>
      </w:r>
      <w:r w:rsidR="00F50088">
        <w:t>survey quality, the guidelines also aim to increase</w:t>
      </w:r>
      <w:r w:rsidR="00F27551">
        <w:t xml:space="preserve"> data</w:t>
      </w:r>
      <w:r w:rsidR="00F50088">
        <w:t xml:space="preserve"> comparability across countries.</w:t>
      </w:r>
      <w:r>
        <w:t xml:space="preserve"> Not only are these the first international set of guidelines for wellbeing measurement targeted at national governments, but they also explicitly recommend a broad assessment of wellbeing that includes both hedonic and eudaimonic aspects of wellbeing.</w:t>
      </w:r>
    </w:p>
    <w:p w14:paraId="377F80C8" w14:textId="627969AD" w:rsidR="008625E0" w:rsidRPr="00A83EC6" w:rsidRDefault="000D5052" w:rsidP="004D7542">
      <w:pPr>
        <w:spacing w:line="360" w:lineRule="auto"/>
      </w:pPr>
      <w:r>
        <w:t xml:space="preserve">The OECD guidelines </w:t>
      </w:r>
      <w:r w:rsidR="007E6B22">
        <w:t xml:space="preserve">present a detailed account of the current best practice for measuring population wellbeing for the purposes of guiding public policy and monitoring progress. </w:t>
      </w:r>
      <w:r w:rsidR="00363513">
        <w:t>T</w:t>
      </w:r>
      <w:r w:rsidR="007E6B22">
        <w:t xml:space="preserve">he guidelines emphasise the importance of establishing clear objectives for </w:t>
      </w:r>
      <w:r w:rsidR="00BB0FC4">
        <w:t xml:space="preserve">the </w:t>
      </w:r>
      <w:r w:rsidR="004E4341">
        <w:t>use of data, which should</w:t>
      </w:r>
      <w:r w:rsidR="007E6B22">
        <w:t xml:space="preserve"> guide subsequent methodological decisions. </w:t>
      </w:r>
      <w:r w:rsidR="00635FC0">
        <w:t>The guidelines outline key recommendations for the methodological approach to measuring national wellbeing</w:t>
      </w:r>
      <w:r w:rsidR="004A6ECB">
        <w:t xml:space="preserve">, these </w:t>
      </w:r>
      <w:r w:rsidR="00635FC0">
        <w:t xml:space="preserve">recommendations include: at least annual measurement of wellbeing; the </w:t>
      </w:r>
      <w:r w:rsidR="00F937CF">
        <w:t xml:space="preserve">enumeration period </w:t>
      </w:r>
      <w:r w:rsidR="004A6ECB">
        <w:t xml:space="preserve">should </w:t>
      </w:r>
      <w:r w:rsidR="00F937CF">
        <w:t>cover a full year or at least equally cover each day of the week</w:t>
      </w:r>
      <w:r w:rsidR="00635FC0">
        <w:t xml:space="preserve"> (to minimise seasonal or day of week effects); </w:t>
      </w:r>
      <w:r w:rsidR="00721ADF">
        <w:t xml:space="preserve">computer-assisted personal interviews (CAPI) </w:t>
      </w:r>
      <w:r w:rsidR="00635FC0">
        <w:t>are preferable</w:t>
      </w:r>
      <w:r w:rsidR="004A6ECB">
        <w:t>,</w:t>
      </w:r>
      <w:r w:rsidR="00635FC0">
        <w:t xml:space="preserve"> and </w:t>
      </w:r>
      <w:r w:rsidR="00FA127D">
        <w:t xml:space="preserve">telephone interviews are not recommended. </w:t>
      </w:r>
      <w:r w:rsidR="00635FC0">
        <w:t xml:space="preserve">The guidelines also outline a series of modules that contain sets of survey questions to assess individual wellbeing. </w:t>
      </w:r>
      <w:r w:rsidR="004E4341">
        <w:t>There is p</w:t>
      </w:r>
      <w:r w:rsidR="004A6ECB">
        <w:t>articular reference to the wording and order of subjective wellbeing questions</w:t>
      </w:r>
      <w:r w:rsidR="004E4341">
        <w:t>,</w:t>
      </w:r>
      <w:r w:rsidR="004A6ECB">
        <w:t xml:space="preserve"> </w:t>
      </w:r>
      <w:r w:rsidR="004E4341">
        <w:t xml:space="preserve">and it is </w:t>
      </w:r>
      <w:r w:rsidR="00234069">
        <w:t>suggested</w:t>
      </w:r>
      <w:r w:rsidR="004E4341">
        <w:t xml:space="preserve"> that </w:t>
      </w:r>
      <w:r w:rsidR="004A6ECB">
        <w:t xml:space="preserve">selected modules are included in their entirety. </w:t>
      </w:r>
      <w:r w:rsidR="00635FC0">
        <w:t>The core module</w:t>
      </w:r>
      <w:r w:rsidR="004A6ECB">
        <w:t>,</w:t>
      </w:r>
      <w:r w:rsidR="00635FC0">
        <w:t xml:space="preserve"> which the OECD recommends </w:t>
      </w:r>
      <w:r w:rsidR="004E4341">
        <w:t xml:space="preserve">that </w:t>
      </w:r>
      <w:r w:rsidR="00635FC0">
        <w:t>all national statistical agencies</w:t>
      </w:r>
      <w:r w:rsidR="00E211E7">
        <w:t xml:space="preserve"> </w:t>
      </w:r>
      <w:r w:rsidR="00635FC0">
        <w:t>include</w:t>
      </w:r>
      <w:r w:rsidR="004A6ECB">
        <w:t>,</w:t>
      </w:r>
      <w:r w:rsidR="00635FC0">
        <w:t xml:space="preserve"> consists of a basic measure of </w:t>
      </w:r>
      <w:r w:rsidR="00635FC0">
        <w:lastRenderedPageBreak/>
        <w:t>overall life evaluation, three short affect questions and a single eudaimonic measure</w:t>
      </w:r>
      <w:r w:rsidR="00635FC0" w:rsidRPr="007E7589">
        <w:t xml:space="preserve">. </w:t>
      </w:r>
      <w:r w:rsidR="007E7589" w:rsidRPr="007E7589">
        <w:rPr>
          <w:lang w:val="en-GB"/>
        </w:rPr>
        <w:t xml:space="preserve">Further, </w:t>
      </w:r>
      <w:r w:rsidR="00635FC0" w:rsidRPr="007E7589">
        <w:t>supplementary modules are</w:t>
      </w:r>
      <w:r w:rsidR="007E7589" w:rsidRPr="007E7589">
        <w:t xml:space="preserve"> also</w:t>
      </w:r>
      <w:r w:rsidR="00635FC0" w:rsidRPr="007E7589">
        <w:t xml:space="preserve"> provided </w:t>
      </w:r>
      <w:r w:rsidR="004A6ECB" w:rsidRPr="007E7589">
        <w:t xml:space="preserve">and encouraged </w:t>
      </w:r>
      <w:r w:rsidR="00635FC0" w:rsidRPr="007E7589">
        <w:t xml:space="preserve">to be utilised </w:t>
      </w:r>
      <w:r w:rsidR="004E4341">
        <w:t>in</w:t>
      </w:r>
      <w:r w:rsidR="00635FC0" w:rsidRPr="007E7589">
        <w:t xml:space="preserve"> </w:t>
      </w:r>
      <w:r w:rsidR="00234069">
        <w:t>more comprehensive questionnaires</w:t>
      </w:r>
      <w:r w:rsidR="00635FC0" w:rsidRPr="007E7589">
        <w:t xml:space="preserve">. </w:t>
      </w:r>
      <w:r w:rsidR="004A6ECB" w:rsidRPr="007E7589">
        <w:t xml:space="preserve">These modules cover a broad range of wellbeing aspects including </w:t>
      </w:r>
      <w:r w:rsidR="00221D6E" w:rsidRPr="007E7589">
        <w:t xml:space="preserve">more in-depth </w:t>
      </w:r>
      <w:r w:rsidR="00221D6E" w:rsidRPr="007E7589">
        <w:rPr>
          <w:lang w:val="en-GB"/>
        </w:rPr>
        <w:t>life evaluation</w:t>
      </w:r>
      <w:r w:rsidR="00221D6E" w:rsidRPr="007E7589">
        <w:t>,</w:t>
      </w:r>
      <w:r w:rsidR="007E7589">
        <w:t xml:space="preserve"> </w:t>
      </w:r>
      <w:r w:rsidR="00221D6E">
        <w:t>recent emotional states, psychological functioning</w:t>
      </w:r>
      <w:r w:rsidR="007E7589">
        <w:t>, evaluative judgements on how life is going, and emotional states during specific activities.</w:t>
      </w:r>
    </w:p>
    <w:p w14:paraId="317C45D5" w14:textId="77777777" w:rsidR="00E1238B" w:rsidRDefault="00E1238B" w:rsidP="004D7542">
      <w:pPr>
        <w:spacing w:line="360" w:lineRule="auto"/>
        <w:rPr>
          <w:i/>
        </w:rPr>
      </w:pPr>
      <w:r>
        <w:rPr>
          <w:i/>
        </w:rPr>
        <w:t>International progress in measuring and understanding national wellbeing</w:t>
      </w:r>
    </w:p>
    <w:p w14:paraId="078FD9AB" w14:textId="281E8772" w:rsidR="00D93DC5" w:rsidRDefault="008C0CB0" w:rsidP="004D7542">
      <w:pPr>
        <w:spacing w:line="360" w:lineRule="auto"/>
      </w:pPr>
      <w:r w:rsidRPr="008C0CB0">
        <w:t>Over the last decade</w:t>
      </w:r>
      <w:r w:rsidR="004E4341">
        <w:t>,</w:t>
      </w:r>
      <w:r w:rsidRPr="008C0CB0">
        <w:t xml:space="preserve"> a number of countries have devis</w:t>
      </w:r>
      <w:r w:rsidR="00F37BB3">
        <w:t xml:space="preserve">ed national or multi-national </w:t>
      </w:r>
      <w:r w:rsidRPr="008C0CB0">
        <w:t xml:space="preserve">surveys designed to measure wellbeing as a multi-dimensional construct. Currently these </w:t>
      </w:r>
      <w:r w:rsidR="004E4341">
        <w:t xml:space="preserve">surveys </w:t>
      </w:r>
      <w:r w:rsidRPr="008C0CB0">
        <w:t xml:space="preserve">are </w:t>
      </w:r>
      <w:r w:rsidR="004E4341">
        <w:t>undertaken</w:t>
      </w:r>
      <w:r w:rsidR="004E4341" w:rsidRPr="008C0CB0">
        <w:t xml:space="preserve"> </w:t>
      </w:r>
      <w:r w:rsidRPr="008C0CB0">
        <w:t xml:space="preserve">by both </w:t>
      </w:r>
      <w:r w:rsidR="005A11F7">
        <w:t>national statistics agencies</w:t>
      </w:r>
      <w:r>
        <w:t xml:space="preserve"> and non-official sources</w:t>
      </w:r>
      <w:r w:rsidR="004A6ECB">
        <w:t>, such as commercial research organisations and academic institutions</w:t>
      </w:r>
      <w:r>
        <w:t xml:space="preserve">. </w:t>
      </w:r>
      <w:r w:rsidR="00D93DC5">
        <w:t>The European Social Survey (ESS) has been running every 2 years since 2001 and measures attitude, beliefs, and behaviour of citizens in over 30 countries (ESS, n.d.). The New Economics Foundation (NEF) is United Kingdom-based and is one example of a leading organisation in wellbeing measurement, since 2006 they have been publishing a ‘Happy Planet Index’ focusing on personal wellbeing, life expectancy and the ecological footprint o</w:t>
      </w:r>
      <w:r w:rsidR="007B32A4">
        <w:t xml:space="preserve">f 151 countries (NEF, 2012). Gallup </w:t>
      </w:r>
      <w:r w:rsidR="00D93DC5">
        <w:t xml:space="preserve">is </w:t>
      </w:r>
      <w:r w:rsidR="004A6ECB">
        <w:t xml:space="preserve">an </w:t>
      </w:r>
      <w:r w:rsidR="00D93DC5">
        <w:t>example</w:t>
      </w:r>
      <w:r w:rsidR="004A6ECB">
        <w:t xml:space="preserve"> of a commercial research organisation;</w:t>
      </w:r>
      <w:r w:rsidR="00D93DC5">
        <w:t xml:space="preserve"> </w:t>
      </w:r>
      <w:r w:rsidR="007B32A4">
        <w:t xml:space="preserve">their world poll </w:t>
      </w:r>
      <w:r w:rsidR="004E4341">
        <w:t xml:space="preserve">of wellbeing regularly reports </w:t>
      </w:r>
      <w:r w:rsidR="00D93DC5">
        <w:t>information on how more than 160 countries are doing in terms of both objective and sub</w:t>
      </w:r>
      <w:r w:rsidR="007B32A4">
        <w:t xml:space="preserve">jective indicators of wellbeing </w:t>
      </w:r>
      <w:r w:rsidR="00D93DC5">
        <w:t xml:space="preserve">(Gallup, 2016). The World Values Survey also assesses wellbeing and personal values globally, surveying around 100 countries (World Values Survey, n.d.). </w:t>
      </w:r>
      <w:r w:rsidR="004E4341">
        <w:t>Since 2012, t</w:t>
      </w:r>
      <w:r w:rsidR="00D93DC5">
        <w:t xml:space="preserve">he </w:t>
      </w:r>
      <w:r w:rsidR="00D93DC5" w:rsidRPr="008D0D13">
        <w:t>United Nations</w:t>
      </w:r>
      <w:r w:rsidR="00D93DC5">
        <w:rPr>
          <w:color w:val="FF0000"/>
        </w:rPr>
        <w:t xml:space="preserve"> </w:t>
      </w:r>
      <w:r w:rsidR="00D93DC5">
        <w:t xml:space="preserve">have </w:t>
      </w:r>
      <w:r w:rsidR="00F4745F">
        <w:t xml:space="preserve">semi-regularly </w:t>
      </w:r>
      <w:r w:rsidR="00D93DC5">
        <w:t>releas</w:t>
      </w:r>
      <w:r w:rsidR="004E4341">
        <w:t>ed</w:t>
      </w:r>
      <w:r w:rsidR="00D93DC5">
        <w:t xml:space="preserve"> a “World Happiness Report” in which they summarise data from the Gallup World Poll and discuss progress and future direction for the science of happiness and wellbeing worldwide (Helliwell, Layard, &amp; Sachs, 2015).</w:t>
      </w:r>
      <w:r w:rsidR="00F37BB3">
        <w:t xml:space="preserve"> In</w:t>
      </w:r>
      <w:r w:rsidR="00757AF6">
        <w:t xml:space="preserve"> Australia, Deakin University has been measuring the wellbeing of Australians since 2001 through the Australian Unity Wellbeing Index</w:t>
      </w:r>
      <w:r w:rsidR="00AE6729">
        <w:t xml:space="preserve"> (</w:t>
      </w:r>
      <w:r w:rsidR="00C03EF7">
        <w:t>Australian Unity, n.d.</w:t>
      </w:r>
      <w:r w:rsidR="00AE6729">
        <w:t>)</w:t>
      </w:r>
      <w:r w:rsidR="00757AF6">
        <w:t xml:space="preserve">. </w:t>
      </w:r>
      <w:r w:rsidR="004A6ECB">
        <w:t>Finally</w:t>
      </w:r>
      <w:r w:rsidR="00F37BB3">
        <w:t xml:space="preserve">, statistical offices in many nations </w:t>
      </w:r>
      <w:r w:rsidR="004A6ECB">
        <w:t xml:space="preserve">implement an ongoing </w:t>
      </w:r>
      <w:r w:rsidR="00F37BB3">
        <w:t>general social survey</w:t>
      </w:r>
      <w:r w:rsidR="004E4341">
        <w:t>,</w:t>
      </w:r>
      <w:r w:rsidR="00F37BB3">
        <w:t xml:space="preserve"> which covers </w:t>
      </w:r>
      <w:r w:rsidR="004A6ECB">
        <w:t xml:space="preserve">varying degrees </w:t>
      </w:r>
      <w:r w:rsidR="00F37BB3">
        <w:t>of wellbeing measurement</w:t>
      </w:r>
      <w:r w:rsidR="004A6ECB">
        <w:t>, however in the past this has primarily been limited to measures of life satisfaction</w:t>
      </w:r>
      <w:r w:rsidR="00F37BB3">
        <w:t xml:space="preserve"> (OECD, 2013).</w:t>
      </w:r>
    </w:p>
    <w:p w14:paraId="349E2E11" w14:textId="319D5B17" w:rsidR="006705E1" w:rsidRDefault="00F37BB3" w:rsidP="004D7542">
      <w:pPr>
        <w:spacing w:line="360" w:lineRule="auto"/>
      </w:pPr>
      <w:r w:rsidRPr="00F37BB3">
        <w:t>Currently in New Zealand</w:t>
      </w:r>
      <w:r w:rsidR="004E4341">
        <w:t>,</w:t>
      </w:r>
      <w:r w:rsidRPr="00F37BB3">
        <w:t xml:space="preserve"> there is no official population-wide study of wellbeing as a multi-dimensional construct. </w:t>
      </w:r>
      <w:r w:rsidR="004E4341">
        <w:t xml:space="preserve">However, there are many surveys, which collect varying degrees of wellbeing data in New Zealand. </w:t>
      </w:r>
      <w:r w:rsidRPr="00F37BB3">
        <w:t>For wellbeing to guide policy in an effective and meaningful way, systematic assessment using reliable, valid and responsive measurement tools, as well as representative population samples, is required (Dien</w:t>
      </w:r>
      <w:r w:rsidR="00884F6D">
        <w:t>er et al.</w:t>
      </w:r>
      <w:r w:rsidRPr="00F37BB3">
        <w:t>, 2009).</w:t>
      </w:r>
      <w:r w:rsidR="008625E0" w:rsidRPr="008625E0">
        <w:rPr>
          <w:color w:val="FF0000"/>
        </w:rPr>
        <w:t xml:space="preserve"> </w:t>
      </w:r>
      <w:r w:rsidR="008625E0" w:rsidRPr="0046577C">
        <w:t>Working towards understanding and improving the levels of flourishing in N</w:t>
      </w:r>
      <w:r w:rsidR="0046577C">
        <w:t xml:space="preserve">ew Zealand has the potential </w:t>
      </w:r>
      <w:r w:rsidR="008625E0" w:rsidRPr="0046577C">
        <w:t>not only</w:t>
      </w:r>
      <w:r w:rsidR="0046577C">
        <w:t xml:space="preserve"> to</w:t>
      </w:r>
      <w:r w:rsidR="008625E0" w:rsidRPr="0046577C">
        <w:t xml:space="preserve"> improve individual health, relationships and personal finance, but also</w:t>
      </w:r>
      <w:r w:rsidR="0046577C">
        <w:t xml:space="preserve"> to</w:t>
      </w:r>
      <w:r w:rsidR="008625E0" w:rsidRPr="0046577C">
        <w:t xml:space="preserve"> reduce health care costs, improve social cohesion, and lead to economic benefits for New Zealand. </w:t>
      </w:r>
      <w:r w:rsidRPr="00F37BB3">
        <w:t>The purpose of this report is to review and document the progress in assessment of population wellbeing in New Zealand over the last 15 years and</w:t>
      </w:r>
      <w:r w:rsidR="008F2C09">
        <w:t xml:space="preserve"> to</w:t>
      </w:r>
      <w:r w:rsidRPr="00F37BB3">
        <w:t xml:space="preserve"> outline the steps required to move forward towards a robust understanding of wellbeing in New Zealand.</w:t>
      </w:r>
      <w:r w:rsidR="00F27551">
        <w:t xml:space="preserve"> </w:t>
      </w:r>
      <w:bookmarkEnd w:id="5"/>
      <w:r w:rsidR="00B422E4">
        <w:t>Specific aims are to:</w:t>
      </w:r>
    </w:p>
    <w:p w14:paraId="335A1DD0" w14:textId="77777777" w:rsidR="00B422E4" w:rsidRDefault="00B422E4" w:rsidP="004D7542">
      <w:pPr>
        <w:pStyle w:val="ListParagraph"/>
        <w:numPr>
          <w:ilvl w:val="0"/>
          <w:numId w:val="20"/>
        </w:numPr>
        <w:spacing w:line="360" w:lineRule="auto"/>
        <w:rPr>
          <w:szCs w:val="20"/>
        </w:rPr>
      </w:pPr>
      <w:r>
        <w:rPr>
          <w:rFonts w:ascii="Arial" w:hAnsi="Arial" w:cs="Arial"/>
          <w:sz w:val="20"/>
          <w:szCs w:val="20"/>
        </w:rPr>
        <w:t>Identify the institutions currently collecting wellbeing data in New Zealand;</w:t>
      </w:r>
    </w:p>
    <w:p w14:paraId="23369406" w14:textId="77777777" w:rsidR="00B422E4" w:rsidRDefault="00B422E4" w:rsidP="004D7542">
      <w:pPr>
        <w:pStyle w:val="ListParagraph"/>
        <w:numPr>
          <w:ilvl w:val="0"/>
          <w:numId w:val="20"/>
        </w:numPr>
        <w:spacing w:line="360" w:lineRule="auto"/>
        <w:rPr>
          <w:szCs w:val="20"/>
        </w:rPr>
      </w:pPr>
      <w:r>
        <w:rPr>
          <w:rFonts w:ascii="Arial" w:hAnsi="Arial" w:cs="Arial"/>
          <w:sz w:val="20"/>
          <w:szCs w:val="20"/>
        </w:rPr>
        <w:t>Identify the components of wellbeing that are currently being measured;</w:t>
      </w:r>
    </w:p>
    <w:p w14:paraId="7FD96D63" w14:textId="77777777" w:rsidR="00B422E4" w:rsidRDefault="00B422E4" w:rsidP="004D7542">
      <w:pPr>
        <w:pStyle w:val="ListParagraph"/>
        <w:numPr>
          <w:ilvl w:val="0"/>
          <w:numId w:val="20"/>
        </w:numPr>
        <w:spacing w:line="360" w:lineRule="auto"/>
        <w:rPr>
          <w:szCs w:val="20"/>
        </w:rPr>
      </w:pPr>
      <w:r>
        <w:rPr>
          <w:rFonts w:ascii="Arial" w:hAnsi="Arial" w:cs="Arial"/>
          <w:sz w:val="20"/>
          <w:szCs w:val="20"/>
        </w:rPr>
        <w:lastRenderedPageBreak/>
        <w:t>Determine the gaps in current population-wide monitoring of wellbeing; and</w:t>
      </w:r>
    </w:p>
    <w:p w14:paraId="53466C8B" w14:textId="77777777" w:rsidR="00B422E4" w:rsidRPr="007E5982" w:rsidRDefault="00B422E4" w:rsidP="004D7542">
      <w:pPr>
        <w:pStyle w:val="ListParagraph"/>
        <w:numPr>
          <w:ilvl w:val="0"/>
          <w:numId w:val="20"/>
        </w:numPr>
        <w:spacing w:line="360" w:lineRule="auto"/>
        <w:rPr>
          <w:szCs w:val="20"/>
        </w:rPr>
      </w:pPr>
      <w:r>
        <w:rPr>
          <w:rFonts w:ascii="Arial" w:hAnsi="Arial" w:cs="Arial"/>
          <w:sz w:val="20"/>
          <w:szCs w:val="20"/>
        </w:rPr>
        <w:t xml:space="preserve">Compare current wellbeing measurement with </w:t>
      </w:r>
      <w:r w:rsidR="006E67E0">
        <w:rPr>
          <w:rFonts w:ascii="Arial" w:hAnsi="Arial" w:cs="Arial"/>
          <w:sz w:val="20"/>
          <w:szCs w:val="20"/>
        </w:rPr>
        <w:t>the OECD guidelines for measuring national wellbeing.</w:t>
      </w:r>
    </w:p>
    <w:p w14:paraId="6CA91A76" w14:textId="77777777" w:rsidR="00FE474E" w:rsidRDefault="00CD2A94" w:rsidP="004D7542">
      <w:pPr>
        <w:pStyle w:val="Heading2"/>
        <w:spacing w:line="360" w:lineRule="auto"/>
      </w:pPr>
      <w:bookmarkStart w:id="6" w:name="_Toc444603288"/>
      <w:r>
        <w:t>Methods and procedures</w:t>
      </w:r>
      <w:bookmarkEnd w:id="6"/>
    </w:p>
    <w:p w14:paraId="0E71EBF7" w14:textId="620BBD0E" w:rsidR="00A43DFE" w:rsidRDefault="00B34736" w:rsidP="004D7542">
      <w:pPr>
        <w:spacing w:line="360" w:lineRule="auto"/>
      </w:pPr>
      <w:r>
        <w:t>Surveys</w:t>
      </w:r>
      <w:r w:rsidR="00BE4C9F">
        <w:t xml:space="preserve"> </w:t>
      </w:r>
      <w:r w:rsidR="009D3131">
        <w:t xml:space="preserve">containing assessment of </w:t>
      </w:r>
      <w:r w:rsidR="00BE4C9F">
        <w:t xml:space="preserve">wellbeing components were identified through </w:t>
      </w:r>
      <w:r w:rsidR="009233D3">
        <w:t xml:space="preserve">manual </w:t>
      </w:r>
      <w:r w:rsidR="00BE4C9F">
        <w:t xml:space="preserve">searches of </w:t>
      </w:r>
      <w:r w:rsidR="00BC30DD">
        <w:t xml:space="preserve">websites including </w:t>
      </w:r>
      <w:r w:rsidR="00BE4C9F">
        <w:t xml:space="preserve">Statistics New Zealand, </w:t>
      </w:r>
      <w:r w:rsidR="00BC30DD">
        <w:t xml:space="preserve">Ministry of Health, </w:t>
      </w:r>
      <w:r w:rsidR="00BE4C9F">
        <w:t>academic institution</w:t>
      </w:r>
      <w:r w:rsidR="00BC30DD">
        <w:t>s,</w:t>
      </w:r>
      <w:r w:rsidR="00BE4C9F">
        <w:t xml:space="preserve"> </w:t>
      </w:r>
      <w:r w:rsidR="00BC30DD">
        <w:t xml:space="preserve">as well as </w:t>
      </w:r>
      <w:r w:rsidR="00BE4C9F">
        <w:t xml:space="preserve">through the researcher’s prior experience and networks </w:t>
      </w:r>
      <w:r w:rsidR="0057701C">
        <w:t>with</w:t>
      </w:r>
      <w:r w:rsidR="00BE4C9F">
        <w:t xml:space="preserve">in this field. </w:t>
      </w:r>
      <w:r w:rsidR="009233D3">
        <w:t xml:space="preserve">In total, </w:t>
      </w:r>
      <w:r w:rsidR="00343E54">
        <w:t xml:space="preserve">the initial search yielded </w:t>
      </w:r>
      <w:r w:rsidR="009233D3">
        <w:t xml:space="preserve">twelve adult surveys and five youth surveys. </w:t>
      </w:r>
      <w:r w:rsidR="00EC737A">
        <w:t>Surveys conducted between 2000 and 201</w:t>
      </w:r>
      <w:r w:rsidR="00493FA1">
        <w:t>5 which</w:t>
      </w:r>
      <w:r w:rsidR="00EC737A">
        <w:t xml:space="preserve"> measured at least one component of individual wellbeing in a sample</w:t>
      </w:r>
      <w:r w:rsidR="00EA2B3D">
        <w:t xml:space="preserve"> of</w:t>
      </w:r>
      <w:r w:rsidR="00EC737A">
        <w:t xml:space="preserve"> New Zealanders were eligible for inclusion in this review. Survey methodology and measurement</w:t>
      </w:r>
      <w:r w:rsidR="009233D3">
        <w:t xml:space="preserve"> pro</w:t>
      </w:r>
      <w:r w:rsidR="00EA2B3D">
        <w:t xml:space="preserve">perties </w:t>
      </w:r>
      <w:r w:rsidR="009233D3">
        <w:t xml:space="preserve">were </w:t>
      </w:r>
      <w:r w:rsidR="00BE4C9F">
        <w:t xml:space="preserve">extracted from the relevant </w:t>
      </w:r>
      <w:r w:rsidR="00343E54">
        <w:t xml:space="preserve">survey </w:t>
      </w:r>
      <w:r w:rsidR="00BE4C9F">
        <w:t>website, technical document</w:t>
      </w:r>
      <w:r w:rsidR="0012583E">
        <w:t>,</w:t>
      </w:r>
      <w:r w:rsidR="00BE4C9F">
        <w:t xml:space="preserve"> and available questionnaires. Where </w:t>
      </w:r>
      <w:r w:rsidR="00EC737A">
        <w:t xml:space="preserve">these details </w:t>
      </w:r>
      <w:r w:rsidR="00BE4C9F">
        <w:t xml:space="preserve">were not available, an email was sent to the government or academic institution for further information or </w:t>
      </w:r>
      <w:r w:rsidR="0012583E">
        <w:t xml:space="preserve">a copy of the </w:t>
      </w:r>
      <w:r w:rsidR="00BE4C9F">
        <w:t xml:space="preserve">survey. </w:t>
      </w:r>
      <w:r w:rsidR="00343E54">
        <w:t xml:space="preserve">Extracted </w:t>
      </w:r>
      <w:r w:rsidR="00EC737A">
        <w:t xml:space="preserve">methodology </w:t>
      </w:r>
      <w:r w:rsidR="00343E54">
        <w:t xml:space="preserve">details </w:t>
      </w:r>
      <w:r w:rsidR="00EC737A">
        <w:t xml:space="preserve">include: </w:t>
      </w:r>
      <w:r w:rsidR="00EC737A">
        <w:rPr>
          <w:szCs w:val="20"/>
        </w:rPr>
        <w:t>s</w:t>
      </w:r>
      <w:r w:rsidR="00EC737A" w:rsidRPr="00EC737A">
        <w:rPr>
          <w:szCs w:val="20"/>
        </w:rPr>
        <w:t xml:space="preserve">ampling </w:t>
      </w:r>
      <w:r w:rsidR="00BE4C9F" w:rsidRPr="00EC737A">
        <w:rPr>
          <w:szCs w:val="20"/>
        </w:rPr>
        <w:t>frame</w:t>
      </w:r>
      <w:r w:rsidR="00EC737A">
        <w:rPr>
          <w:szCs w:val="20"/>
        </w:rPr>
        <w:t>, s</w:t>
      </w:r>
      <w:r w:rsidR="00EC737A" w:rsidRPr="00EC737A">
        <w:rPr>
          <w:szCs w:val="20"/>
        </w:rPr>
        <w:t xml:space="preserve">ample </w:t>
      </w:r>
      <w:r w:rsidR="00BE4C9F" w:rsidRPr="00EC737A">
        <w:rPr>
          <w:szCs w:val="20"/>
        </w:rPr>
        <w:t>design</w:t>
      </w:r>
      <w:r w:rsidR="00EC737A">
        <w:rPr>
          <w:szCs w:val="20"/>
        </w:rPr>
        <w:t>, s</w:t>
      </w:r>
      <w:r w:rsidR="00EC737A" w:rsidRPr="00EC737A">
        <w:rPr>
          <w:szCs w:val="20"/>
        </w:rPr>
        <w:t xml:space="preserve">urvey </w:t>
      </w:r>
      <w:r w:rsidR="00BE4C9F" w:rsidRPr="00EC737A">
        <w:rPr>
          <w:szCs w:val="20"/>
        </w:rPr>
        <w:t>period</w:t>
      </w:r>
      <w:r w:rsidR="00EC737A">
        <w:rPr>
          <w:szCs w:val="20"/>
        </w:rPr>
        <w:t>, r</w:t>
      </w:r>
      <w:r w:rsidR="00EC737A" w:rsidRPr="00EC737A">
        <w:rPr>
          <w:szCs w:val="20"/>
        </w:rPr>
        <w:t xml:space="preserve">esponse </w:t>
      </w:r>
      <w:r w:rsidR="00BE4C9F" w:rsidRPr="00EC737A">
        <w:rPr>
          <w:szCs w:val="20"/>
        </w:rPr>
        <w:t>rate and sample size</w:t>
      </w:r>
      <w:r w:rsidR="00EC737A">
        <w:rPr>
          <w:szCs w:val="20"/>
        </w:rPr>
        <w:t>, o</w:t>
      </w:r>
      <w:r w:rsidR="00EC737A" w:rsidRPr="00EC737A">
        <w:rPr>
          <w:szCs w:val="20"/>
        </w:rPr>
        <w:t xml:space="preserve">ngoing </w:t>
      </w:r>
      <w:r w:rsidR="00BE4C9F" w:rsidRPr="00EC737A">
        <w:rPr>
          <w:szCs w:val="20"/>
        </w:rPr>
        <w:t>study or one-off</w:t>
      </w:r>
      <w:r w:rsidR="00EC737A">
        <w:rPr>
          <w:szCs w:val="20"/>
        </w:rPr>
        <w:t>, s</w:t>
      </w:r>
      <w:r w:rsidR="00EC737A" w:rsidRPr="00EC737A">
        <w:rPr>
          <w:szCs w:val="20"/>
        </w:rPr>
        <w:t xml:space="preserve">urvey </w:t>
      </w:r>
      <w:r w:rsidR="00BE4C9F" w:rsidRPr="00EC737A">
        <w:rPr>
          <w:szCs w:val="20"/>
        </w:rPr>
        <w:t>population</w:t>
      </w:r>
      <w:r w:rsidR="00EC737A">
        <w:rPr>
          <w:szCs w:val="20"/>
        </w:rPr>
        <w:t>, and s</w:t>
      </w:r>
      <w:r w:rsidR="00EC737A" w:rsidRPr="00EC737A">
        <w:rPr>
          <w:szCs w:val="20"/>
        </w:rPr>
        <w:t xml:space="preserve">urvey </w:t>
      </w:r>
      <w:r w:rsidR="00BE4C9F" w:rsidRPr="00EC737A">
        <w:rPr>
          <w:szCs w:val="20"/>
        </w:rPr>
        <w:t>mode</w:t>
      </w:r>
      <w:r w:rsidR="00EC737A">
        <w:rPr>
          <w:szCs w:val="20"/>
        </w:rPr>
        <w:t>. Measurement properties of the survey</w:t>
      </w:r>
      <w:r w:rsidR="00A43DFE">
        <w:rPr>
          <w:szCs w:val="20"/>
        </w:rPr>
        <w:t xml:space="preserve"> content</w:t>
      </w:r>
      <w:r w:rsidR="008E199B">
        <w:rPr>
          <w:szCs w:val="20"/>
        </w:rPr>
        <w:t xml:space="preserve"> include</w:t>
      </w:r>
      <w:r w:rsidR="00EC737A">
        <w:rPr>
          <w:szCs w:val="20"/>
        </w:rPr>
        <w:t xml:space="preserve">: </w:t>
      </w:r>
      <w:r w:rsidR="00A43DFE">
        <w:rPr>
          <w:szCs w:val="20"/>
        </w:rPr>
        <w:t xml:space="preserve">full list of </w:t>
      </w:r>
      <w:r w:rsidR="00EC737A">
        <w:rPr>
          <w:szCs w:val="20"/>
        </w:rPr>
        <w:t>survey topics</w:t>
      </w:r>
      <w:r w:rsidR="00A43DFE">
        <w:rPr>
          <w:szCs w:val="20"/>
        </w:rPr>
        <w:t xml:space="preserve"> and details of each item that assessed a component individual wellbeing (wording and response scales). During this process</w:t>
      </w:r>
      <w:r w:rsidR="00B422E4">
        <w:rPr>
          <w:szCs w:val="20"/>
        </w:rPr>
        <w:t>,</w:t>
      </w:r>
      <w:r w:rsidR="00A43DFE">
        <w:rPr>
          <w:szCs w:val="20"/>
        </w:rPr>
        <w:t xml:space="preserve"> </w:t>
      </w:r>
      <w:r w:rsidR="00A43DFE">
        <w:t xml:space="preserve">three adult surveys were excluded from further analysis as they </w:t>
      </w:r>
      <w:r w:rsidR="00493FA1">
        <w:rPr>
          <w:lang w:val="en-GB"/>
        </w:rPr>
        <w:t>did not meet</w:t>
      </w:r>
      <w:r w:rsidR="009460D6">
        <w:rPr>
          <w:lang w:val="en-GB"/>
        </w:rPr>
        <w:t xml:space="preserve"> the</w:t>
      </w:r>
      <w:r w:rsidR="00493FA1">
        <w:rPr>
          <w:lang w:val="en-GB"/>
        </w:rPr>
        <w:t xml:space="preserve"> inclusion crite</w:t>
      </w:r>
      <w:r w:rsidR="009460D6">
        <w:rPr>
          <w:lang w:val="en-GB"/>
        </w:rPr>
        <w:t>ria for</w:t>
      </w:r>
      <w:r w:rsidR="00493FA1">
        <w:rPr>
          <w:lang w:val="en-GB"/>
        </w:rPr>
        <w:t xml:space="preserve"> individual wellbeing measurement</w:t>
      </w:r>
      <w:r w:rsidR="00A43DFE">
        <w:t xml:space="preserve">. The content of each remaining survey </w:t>
      </w:r>
      <w:r w:rsidR="00BC30DD">
        <w:t xml:space="preserve">was </w:t>
      </w:r>
      <w:r w:rsidR="00A43DFE">
        <w:t xml:space="preserve">tabulated and then compared with the </w:t>
      </w:r>
      <w:r w:rsidR="003E3F62">
        <w:t xml:space="preserve">2013 </w:t>
      </w:r>
      <w:r w:rsidR="00A43DFE">
        <w:t>OECD guidelines for subjective wellbeing measurement.</w:t>
      </w:r>
    </w:p>
    <w:p w14:paraId="480362E9" w14:textId="77777777" w:rsidR="00EC737A" w:rsidRDefault="00CD2A94" w:rsidP="004D7542">
      <w:pPr>
        <w:pStyle w:val="Heading2"/>
        <w:spacing w:line="360" w:lineRule="auto"/>
      </w:pPr>
      <w:bookmarkStart w:id="7" w:name="_Toc444603289"/>
      <w:r>
        <w:t>Result</w:t>
      </w:r>
      <w:r w:rsidR="00690FF1">
        <w:t>s</w:t>
      </w:r>
      <w:bookmarkEnd w:id="7"/>
    </w:p>
    <w:p w14:paraId="44F672F0" w14:textId="3F265C63" w:rsidR="00661810" w:rsidRDefault="00661810" w:rsidP="004D7542">
      <w:pPr>
        <w:spacing w:line="360" w:lineRule="auto"/>
      </w:pPr>
      <w:r>
        <w:t xml:space="preserve">Data </w:t>
      </w:r>
      <w:r w:rsidR="00DB6AED">
        <w:t>were</w:t>
      </w:r>
      <w:r>
        <w:t xml:space="preserve"> extracted from surveys between the years 2000-2015; Table 1 presents the methodological properties of the most recent wave/collection of each included survey.</w:t>
      </w:r>
    </w:p>
    <w:p w14:paraId="3DA4496A" w14:textId="77777777" w:rsidR="00661810" w:rsidRDefault="00661810" w:rsidP="004D7542">
      <w:pPr>
        <w:spacing w:line="360" w:lineRule="auto"/>
        <w:rPr>
          <w:u w:val="single"/>
        </w:rPr>
      </w:pPr>
      <w:r w:rsidRPr="001B763F">
        <w:rPr>
          <w:u w:val="single"/>
        </w:rPr>
        <w:t>Adults</w:t>
      </w:r>
    </w:p>
    <w:p w14:paraId="62A13462" w14:textId="6D78AE94" w:rsidR="00661810" w:rsidRDefault="00661810" w:rsidP="004D7542">
      <w:pPr>
        <w:spacing w:line="360" w:lineRule="auto"/>
      </w:pPr>
      <w:r>
        <w:t xml:space="preserve">Data were extracted from nine surveys; seven of these were New Zealand-based surveys and two were international </w:t>
      </w:r>
      <w:r w:rsidR="007649FC">
        <w:t>multi-country surveys</w:t>
      </w:r>
      <w:r>
        <w:t xml:space="preserve"> with New Zealand as a country of inclusion. The most frequent survey mode applied was computer-assisted personal interview (CAPI) which is considered the best-practice survey mode according to the 2013 OECD guidelines. </w:t>
      </w:r>
      <w:r w:rsidRPr="007C5E00">
        <w:t xml:space="preserve">Other survey modes included </w:t>
      </w:r>
      <w:r>
        <w:rPr>
          <w:lang w:val="en-GB"/>
        </w:rPr>
        <w:t>computer-</w:t>
      </w:r>
      <w:r w:rsidRPr="007C5E00">
        <w:rPr>
          <w:lang w:val="en-GB"/>
        </w:rPr>
        <w:t>assisted telephone interviews (CATI), online surveys, postal surveys and self-complete surveys</w:t>
      </w:r>
      <w:r w:rsidRPr="00175D4E">
        <w:rPr>
          <w:lang w:val="en-GB"/>
        </w:rPr>
        <w:t>.</w:t>
      </w:r>
      <w:r>
        <w:t xml:space="preserve"> Three surveys were conducted by Statistics New Zealand, the rest by academic institutions (n=2), commercial organisations (n=1), and other entities (n=3). </w:t>
      </w:r>
      <w:r w:rsidRPr="0096474A">
        <w:t xml:space="preserve">Three surveys were conducted </w:t>
      </w:r>
      <w:r w:rsidR="00DB6AED">
        <w:t>in</w:t>
      </w:r>
      <w:r w:rsidRPr="0096474A">
        <w:t xml:space="preserve"> sub populations: Maori citizens</w:t>
      </w:r>
      <w:r w:rsidR="00EB335C">
        <w:t>,</w:t>
      </w:r>
      <w:r w:rsidRPr="0096474A">
        <w:t xml:space="preserve"> New Zealand immigrants</w:t>
      </w:r>
      <w:r w:rsidR="00EB335C">
        <w:t>,</w:t>
      </w:r>
      <w:r w:rsidRPr="0096474A">
        <w:t xml:space="preserve"> and those residing in six New Zealand cities. </w:t>
      </w:r>
    </w:p>
    <w:p w14:paraId="5D637B60" w14:textId="6FD44E3F" w:rsidR="00661810" w:rsidRDefault="00661810" w:rsidP="004D7542">
      <w:pPr>
        <w:spacing w:line="360" w:lineRule="auto"/>
      </w:pPr>
      <w:r w:rsidRPr="00321285">
        <w:t xml:space="preserve">Survey sample sizes varied from 841 in the World Values Survey to 13,492 in the New Zealand Health Survey. </w:t>
      </w:r>
      <w:r w:rsidR="00DB6AED">
        <w:t xml:space="preserve">Out </w:t>
      </w:r>
      <w:r w:rsidRPr="00321285">
        <w:t xml:space="preserve">of the </w:t>
      </w:r>
      <w:r w:rsidR="00DB6AED">
        <w:t>nine</w:t>
      </w:r>
      <w:r w:rsidRPr="00321285">
        <w:t xml:space="preserve"> adult surveys</w:t>
      </w:r>
      <w:r w:rsidR="00DB6AED">
        <w:t>, eight</w:t>
      </w:r>
      <w:r w:rsidRPr="00321285">
        <w:t xml:space="preserve"> </w:t>
      </w:r>
      <w:r w:rsidR="00DB6AED">
        <w:t>employed</w:t>
      </w:r>
      <w:r w:rsidRPr="00321285">
        <w:t xml:space="preserve"> a probability sampl</w:t>
      </w:r>
      <w:r w:rsidR="008E199B">
        <w:t>ing strategy;</w:t>
      </w:r>
      <w:r w:rsidRPr="00321285">
        <w:t xml:space="preserve"> the Sovereign Wellbeing Index was the only survey with a non-probability sample.</w:t>
      </w:r>
      <w:r w:rsidR="008E199B">
        <w:t xml:space="preserve"> </w:t>
      </w:r>
      <w:r w:rsidR="00DB6AED">
        <w:t>S</w:t>
      </w:r>
      <w:r w:rsidRPr="00D03057">
        <w:t xml:space="preserve">ampling frames of the </w:t>
      </w:r>
      <w:r w:rsidR="00DB6AED">
        <w:lastRenderedPageBreak/>
        <w:t xml:space="preserve">surveys included the </w:t>
      </w:r>
      <w:r w:rsidRPr="00D03057">
        <w:t>entire New Zealand population (n=3), the electoral role (n=3), sub-populations (n=2), and a commercial research</w:t>
      </w:r>
      <w:r>
        <w:t xml:space="preserve"> panel (n=1).</w:t>
      </w:r>
    </w:p>
    <w:p w14:paraId="4C8101AB" w14:textId="7EE22772" w:rsidR="00661810" w:rsidRPr="002711FC" w:rsidRDefault="00661810" w:rsidP="004D7542">
      <w:pPr>
        <w:spacing w:line="360" w:lineRule="auto"/>
      </w:pPr>
      <w:r w:rsidRPr="002711FC">
        <w:t xml:space="preserve">A single life-satisfaction question was the most common measure </w:t>
      </w:r>
      <w:r w:rsidR="007649FC">
        <w:t xml:space="preserve">of wellbeing </w:t>
      </w:r>
      <w:r w:rsidRPr="002711FC">
        <w:t xml:space="preserve">across surveys, included in </w:t>
      </w:r>
      <w:r w:rsidR="007649FC">
        <w:t>six</w:t>
      </w:r>
      <w:r>
        <w:t xml:space="preserve"> out of </w:t>
      </w:r>
      <w:r w:rsidR="007649FC">
        <w:t>nine</w:t>
      </w:r>
      <w:r w:rsidRPr="002711FC">
        <w:t xml:space="preserve"> adult surveys. Other common questions included </w:t>
      </w:r>
      <w:r>
        <w:t xml:space="preserve">job satisfaction and measures of affect such as how calm, sad or lonely one felt </w:t>
      </w:r>
      <w:r w:rsidR="007649FC">
        <w:t>during a specified</w:t>
      </w:r>
      <w:r>
        <w:t xml:space="preserve"> period</w:t>
      </w:r>
      <w:r w:rsidR="007649FC">
        <w:t xml:space="preserve"> (e.g., past week)</w:t>
      </w:r>
      <w:r>
        <w:t xml:space="preserve">. The life-satisfaction measure was the only OECD comparable question </w:t>
      </w:r>
      <w:r w:rsidR="007649FC">
        <w:t>to be included in</w:t>
      </w:r>
      <w:r>
        <w:t xml:space="preserve"> multiple surveys.</w:t>
      </w:r>
    </w:p>
    <w:p w14:paraId="0C29D743" w14:textId="04F36E35" w:rsidR="00661810" w:rsidRDefault="00661810" w:rsidP="004D7542">
      <w:pPr>
        <w:spacing w:line="360" w:lineRule="auto"/>
      </w:pPr>
      <w:r>
        <w:t xml:space="preserve">When compared with the OECD recommendations, </w:t>
      </w:r>
      <w:r w:rsidR="007649FC">
        <w:rPr>
          <w:lang w:val="en-GB"/>
        </w:rPr>
        <w:t>three</w:t>
      </w:r>
      <w:r>
        <w:t xml:space="preserve"> surveys included </w:t>
      </w:r>
      <w:r w:rsidR="007649FC">
        <w:rPr>
          <w:lang w:val="en-GB"/>
        </w:rPr>
        <w:t>two to five</w:t>
      </w:r>
      <w:r>
        <w:t xml:space="preserve"> of the recommended wellbeing questions, and no survey included the core OECD module in its entirety. The majority of wellbeing </w:t>
      </w:r>
      <w:r w:rsidR="007649FC">
        <w:t>questions</w:t>
      </w:r>
      <w:r>
        <w:t xml:space="preserve"> in all surveys were not directly aligned with the OECD recommendations. In particular, response scales, reference periods</w:t>
      </w:r>
      <w:r w:rsidR="007649FC">
        <w:t>,</w:t>
      </w:r>
      <w:r>
        <w:t xml:space="preserve"> and question wording varied from those recommended by the OECD, </w:t>
      </w:r>
      <w:r w:rsidR="007649FC">
        <w:t>which limits</w:t>
      </w:r>
      <w:r>
        <w:t xml:space="preserve"> valid comparisons between surveys and countries. </w:t>
      </w:r>
    </w:p>
    <w:p w14:paraId="3C33EC86" w14:textId="239B8045" w:rsidR="00661810" w:rsidRDefault="00661810" w:rsidP="004D7542">
      <w:pPr>
        <w:spacing w:line="360" w:lineRule="auto"/>
      </w:pPr>
      <w:r>
        <w:t xml:space="preserve">The New Zealand General Social Survey (NZGSS) </w:t>
      </w:r>
      <w:r w:rsidR="007649FC">
        <w:t>was</w:t>
      </w:r>
      <w:r>
        <w:t xml:space="preserve"> identified by the OECD as the most ideal survey vehicle for measuring subjective wellbeing in New Zealand. Undertaken every two-years by Statistics New Zealand, the 2014 NZGSS included two wellbeing measurement questions which directly aligned with the OECD guidelines as well as five additional questions which were similar but not directly comparable due to different reference periods (how did you feel yesterday versus two weeks ago). The Sovereign Wellbeing Index (SWI) most closely aligned with the OECD wellbeing measurement guidelines; however, this survey was based on the 2012 European Social Survey</w:t>
      </w:r>
      <w:r w:rsidR="007649FC">
        <w:t xml:space="preserve"> and</w:t>
      </w:r>
      <w:r>
        <w:t xml:space="preserve"> many of the questions–while similar–have different measurement scales. </w:t>
      </w:r>
      <w:r w:rsidR="007649FC">
        <w:t>W</w:t>
      </w:r>
      <w:r>
        <w:t>hile the SWI measured wellbeing in a large and diverse sample of New Zealand adults, the sampling frame may limit the generalisability of results to the New Zealand adult population. Despite these limitations, the 2014 SWI provides the most comprehensive profile of wellbeing in New Zealand to date.</w:t>
      </w:r>
    </w:p>
    <w:p w14:paraId="2F059996" w14:textId="77777777" w:rsidR="00661810" w:rsidRDefault="00661810" w:rsidP="004D7542">
      <w:pPr>
        <w:spacing w:line="360" w:lineRule="auto"/>
        <w:rPr>
          <w:u w:val="single"/>
        </w:rPr>
      </w:pPr>
      <w:r w:rsidRPr="001B763F">
        <w:rPr>
          <w:u w:val="single"/>
        </w:rPr>
        <w:t>Youth</w:t>
      </w:r>
    </w:p>
    <w:p w14:paraId="04E1DF38" w14:textId="662599E8" w:rsidR="00661810" w:rsidRDefault="00661810" w:rsidP="004D7542">
      <w:pPr>
        <w:spacing w:line="360" w:lineRule="auto"/>
      </w:pPr>
      <w:r>
        <w:t>There are currently no guidelines for the measurement of wellbeing in children and youth; it appears to be an emergent area of research. A number of youth surveys have included measures of wellbeing, although a larger focus has been on ill-being covering topics such as depression, alcohol abuse, violence and crime. Three surveys: Youth2000, the Youth Connectedness Survey, and the CERA Youth Wellbeing Survey, however, included wellbeing measures such as life satisfaction, positive and negative affect, purpose</w:t>
      </w:r>
      <w:r w:rsidR="007649FC">
        <w:t>,</w:t>
      </w:r>
      <w:r>
        <w:t xml:space="preserve"> and social connectedness. </w:t>
      </w:r>
      <w:r w:rsidR="007649FC">
        <w:t>Academic institutions conducted m</w:t>
      </w:r>
      <w:r>
        <w:t>ost of these surveys, however the CERA Youth Wellbeing Survey was conducted in the aftermath of the Christchurch earthquakes to understand how young people in the Canterbury region were coping.</w:t>
      </w:r>
    </w:p>
    <w:p w14:paraId="683D2502" w14:textId="77777777" w:rsidR="003D764F" w:rsidRPr="00F4745F" w:rsidRDefault="003D764F" w:rsidP="00BE7E91">
      <w:pPr>
        <w:sectPr w:rsidR="003D764F" w:rsidRPr="00F4745F" w:rsidSect="00B964AB">
          <w:headerReference w:type="default" r:id="rId17"/>
          <w:footerReference w:type="default" r:id="rId18"/>
          <w:pgSz w:w="11906" w:h="16838"/>
          <w:pgMar w:top="1440" w:right="1440" w:bottom="1440" w:left="1440" w:header="708" w:footer="708" w:gutter="0"/>
          <w:pgNumType w:start="11"/>
          <w:cols w:space="708"/>
          <w:docGrid w:linePitch="360"/>
        </w:sectPr>
      </w:pPr>
    </w:p>
    <w:p w14:paraId="0CC1AA60" w14:textId="25151011" w:rsidR="00EC737A" w:rsidRDefault="00DF0F2F" w:rsidP="000425FF">
      <w:r>
        <w:lastRenderedPageBreak/>
        <w:t>Table 1.</w:t>
      </w:r>
      <w:r w:rsidR="007649FC">
        <w:t xml:space="preserve"> </w:t>
      </w:r>
      <w:r w:rsidR="004D7542">
        <w:t xml:space="preserve">Wellbeing measurement in </w:t>
      </w:r>
      <w:r w:rsidR="00F4745F">
        <w:t xml:space="preserve">surveys of </w:t>
      </w:r>
      <w:r w:rsidR="004D7542">
        <w:t>New Z</w:t>
      </w:r>
      <w:r w:rsidR="00F4745F">
        <w:t>ealanders</w:t>
      </w:r>
    </w:p>
    <w:tbl>
      <w:tblPr>
        <w:tblStyle w:val="TableGrid"/>
        <w:tblW w:w="557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bottom w:w="284" w:type="dxa"/>
          <w:right w:w="85" w:type="dxa"/>
        </w:tblCellMar>
        <w:tblLook w:val="04A0" w:firstRow="1" w:lastRow="0" w:firstColumn="1" w:lastColumn="0" w:noHBand="0" w:noVBand="1"/>
      </w:tblPr>
      <w:tblGrid>
        <w:gridCol w:w="2416"/>
        <w:gridCol w:w="2550"/>
        <w:gridCol w:w="2444"/>
        <w:gridCol w:w="3194"/>
        <w:gridCol w:w="4962"/>
      </w:tblGrid>
      <w:tr w:rsidR="00DF0F2F" w:rsidRPr="00F4745F" w14:paraId="337D8FBF" w14:textId="77777777" w:rsidTr="00F4745F">
        <w:trPr>
          <w:cantSplit/>
          <w:trHeight w:val="20"/>
          <w:tblHeader/>
        </w:trPr>
        <w:tc>
          <w:tcPr>
            <w:tcW w:w="776" w:type="pct"/>
            <w:tcBorders>
              <w:top w:val="single" w:sz="4" w:space="0" w:color="auto"/>
              <w:bottom w:val="single" w:sz="4" w:space="0" w:color="auto"/>
            </w:tcBorders>
            <w:hideMark/>
          </w:tcPr>
          <w:p w14:paraId="7CB1E6E2" w14:textId="77777777" w:rsidR="00DF0F2F" w:rsidRPr="00F4745F" w:rsidRDefault="00DF0F2F" w:rsidP="00673E81">
            <w:pPr>
              <w:pStyle w:val="ThesisTableText"/>
              <w:rPr>
                <w:b/>
              </w:rPr>
            </w:pPr>
            <w:bookmarkStart w:id="8" w:name="RANGE!A1:E41"/>
            <w:r w:rsidRPr="00F4745F">
              <w:rPr>
                <w:b/>
              </w:rPr>
              <w:t>S</w:t>
            </w:r>
            <w:bookmarkEnd w:id="8"/>
            <w:r w:rsidRPr="00F4745F">
              <w:rPr>
                <w:b/>
              </w:rPr>
              <w:t>urvey</w:t>
            </w:r>
          </w:p>
          <w:p w14:paraId="4FF36D47" w14:textId="77777777" w:rsidR="00DF0F2F" w:rsidRPr="00F4745F" w:rsidRDefault="00DF0F2F" w:rsidP="00673E81">
            <w:pPr>
              <w:pStyle w:val="ThesisTableText"/>
              <w:rPr>
                <w:b/>
              </w:rPr>
            </w:pPr>
          </w:p>
        </w:tc>
        <w:tc>
          <w:tcPr>
            <w:tcW w:w="819" w:type="pct"/>
            <w:tcBorders>
              <w:top w:val="single" w:sz="4" w:space="0" w:color="auto"/>
              <w:bottom w:val="single" w:sz="4" w:space="0" w:color="auto"/>
            </w:tcBorders>
            <w:hideMark/>
          </w:tcPr>
          <w:p w14:paraId="48B41C54" w14:textId="77777777" w:rsidR="00DF0F2F" w:rsidRPr="00F4745F" w:rsidRDefault="00DF0F2F" w:rsidP="00673E81">
            <w:pPr>
              <w:pStyle w:val="ThesisTableText"/>
              <w:rPr>
                <w:b/>
              </w:rPr>
            </w:pPr>
            <w:r w:rsidRPr="00F4745F">
              <w:rPr>
                <w:b/>
              </w:rPr>
              <w:t>Sample</w:t>
            </w:r>
          </w:p>
          <w:p w14:paraId="40AF8CB2" w14:textId="77777777" w:rsidR="00DF0F2F" w:rsidRPr="00F4745F" w:rsidRDefault="00DF0F2F" w:rsidP="00673E81">
            <w:pPr>
              <w:pStyle w:val="ThesisTableText"/>
              <w:rPr>
                <w:b/>
              </w:rPr>
            </w:pPr>
            <w:r w:rsidRPr="00F4745F">
              <w:rPr>
                <w:b/>
              </w:rPr>
              <w:t>(n; survey population; sample design; sampling frame)</w:t>
            </w:r>
          </w:p>
          <w:p w14:paraId="29B55BC3" w14:textId="77777777" w:rsidR="00DF0F2F" w:rsidRPr="00F4745F" w:rsidRDefault="00DF0F2F" w:rsidP="00673E81">
            <w:pPr>
              <w:pStyle w:val="ThesisTableText"/>
              <w:rPr>
                <w:b/>
                <w:color w:val="FF0000"/>
              </w:rPr>
            </w:pPr>
          </w:p>
        </w:tc>
        <w:tc>
          <w:tcPr>
            <w:tcW w:w="785" w:type="pct"/>
            <w:tcBorders>
              <w:top w:val="single" w:sz="4" w:space="0" w:color="auto"/>
              <w:bottom w:val="single" w:sz="4" w:space="0" w:color="auto"/>
            </w:tcBorders>
            <w:hideMark/>
          </w:tcPr>
          <w:p w14:paraId="2D8E0C2D" w14:textId="77777777" w:rsidR="00DF0F2F" w:rsidRPr="00F4745F" w:rsidRDefault="00DF0F2F" w:rsidP="00673E81">
            <w:pPr>
              <w:pStyle w:val="ThesisTableText"/>
              <w:rPr>
                <w:b/>
              </w:rPr>
            </w:pPr>
            <w:r w:rsidRPr="00F4745F">
              <w:rPr>
                <w:b/>
              </w:rPr>
              <w:t>Method</w:t>
            </w:r>
          </w:p>
          <w:p w14:paraId="3D75E700" w14:textId="77777777" w:rsidR="00DF0F2F" w:rsidRPr="00F4745F" w:rsidRDefault="00DF0F2F" w:rsidP="00673E81">
            <w:pPr>
              <w:pStyle w:val="ThesisTableText"/>
              <w:rPr>
                <w:b/>
              </w:rPr>
            </w:pPr>
            <w:r w:rsidRPr="00F4745F">
              <w:rPr>
                <w:b/>
              </w:rPr>
              <w:t>(survey mode; survey period; ongoing or one-off)</w:t>
            </w:r>
          </w:p>
          <w:p w14:paraId="6F2BBDDE" w14:textId="77777777" w:rsidR="00DF0F2F" w:rsidRPr="00F4745F" w:rsidRDefault="00DF0F2F" w:rsidP="00673E81">
            <w:pPr>
              <w:pStyle w:val="ThesisTableText"/>
              <w:rPr>
                <w:b/>
                <w:color w:val="FF0000"/>
              </w:rPr>
            </w:pPr>
          </w:p>
        </w:tc>
        <w:tc>
          <w:tcPr>
            <w:tcW w:w="1026" w:type="pct"/>
            <w:tcBorders>
              <w:top w:val="single" w:sz="4" w:space="0" w:color="auto"/>
              <w:bottom w:val="single" w:sz="4" w:space="0" w:color="auto"/>
            </w:tcBorders>
            <w:hideMark/>
          </w:tcPr>
          <w:p w14:paraId="7C1FE9CD" w14:textId="77777777" w:rsidR="00DF0F2F" w:rsidRPr="00F4745F" w:rsidRDefault="00DF0F2F" w:rsidP="00673E81">
            <w:pPr>
              <w:pStyle w:val="ThesisTableText"/>
              <w:rPr>
                <w:b/>
              </w:rPr>
            </w:pPr>
            <w:r w:rsidRPr="00F4745F">
              <w:rPr>
                <w:b/>
              </w:rPr>
              <w:t>Survey topics</w:t>
            </w:r>
          </w:p>
        </w:tc>
        <w:tc>
          <w:tcPr>
            <w:tcW w:w="1594" w:type="pct"/>
            <w:tcBorders>
              <w:top w:val="single" w:sz="4" w:space="0" w:color="auto"/>
              <w:bottom w:val="single" w:sz="4" w:space="0" w:color="auto"/>
            </w:tcBorders>
          </w:tcPr>
          <w:p w14:paraId="6F595CEC" w14:textId="77777777" w:rsidR="00DF0F2F" w:rsidRPr="00F4745F" w:rsidRDefault="00DF0F2F" w:rsidP="00673E81">
            <w:pPr>
              <w:pStyle w:val="ThesisTableText"/>
              <w:jc w:val="center"/>
              <w:rPr>
                <w:b/>
              </w:rPr>
            </w:pPr>
            <w:r w:rsidRPr="00F4745F">
              <w:rPr>
                <w:b/>
              </w:rPr>
              <w:t>OECD question comparison</w:t>
            </w:r>
          </w:p>
          <w:p w14:paraId="524EC8E3" w14:textId="77777777" w:rsidR="00DF0F2F" w:rsidRPr="00F4745F" w:rsidRDefault="00DF0F2F" w:rsidP="00673E81">
            <w:pPr>
              <w:pStyle w:val="ThesisTableText"/>
              <w:jc w:val="center"/>
              <w:rPr>
                <w:b/>
                <w:color w:val="FF0000"/>
              </w:rPr>
            </w:pPr>
          </w:p>
        </w:tc>
      </w:tr>
      <w:tr w:rsidR="00DF0F2F" w:rsidRPr="00041421" w14:paraId="3473654D" w14:textId="77777777" w:rsidTr="00DF0F2F">
        <w:trPr>
          <w:cantSplit/>
          <w:trHeight w:val="20"/>
        </w:trPr>
        <w:tc>
          <w:tcPr>
            <w:tcW w:w="776" w:type="pct"/>
            <w:tcBorders>
              <w:top w:val="single" w:sz="4" w:space="0" w:color="auto"/>
            </w:tcBorders>
          </w:tcPr>
          <w:p w14:paraId="73005FB6" w14:textId="77777777" w:rsidR="00DF0F2F" w:rsidRDefault="00DF0F2F" w:rsidP="00673E81">
            <w:pPr>
              <w:pStyle w:val="ThesisTableText"/>
            </w:pPr>
            <w:r>
              <w:t>New Zealand General Social Survey 2014</w:t>
            </w:r>
          </w:p>
          <w:p w14:paraId="7064B456" w14:textId="68784410" w:rsidR="00DF0F2F" w:rsidRDefault="00DF0F2F" w:rsidP="00673E81">
            <w:pPr>
              <w:pStyle w:val="ThesisTableText"/>
              <w:rPr>
                <w:i/>
              </w:rPr>
            </w:pPr>
            <w:r>
              <w:rPr>
                <w:i/>
              </w:rPr>
              <w:t>Statistics New Zealand</w:t>
            </w:r>
            <w:r w:rsidR="006B3FE3">
              <w:rPr>
                <w:i/>
              </w:rPr>
              <w:t xml:space="preserve"> </w:t>
            </w:r>
          </w:p>
          <w:p w14:paraId="626744BF" w14:textId="4C420C46" w:rsidR="00964638" w:rsidRPr="00422B04" w:rsidRDefault="00964638" w:rsidP="00673E81">
            <w:pPr>
              <w:pStyle w:val="ThesisTableText"/>
            </w:pPr>
            <w:r w:rsidRPr="00422B04">
              <w:t xml:space="preserve">(Statistics New Zealand, </w:t>
            </w:r>
            <w:r w:rsidR="00655CC6" w:rsidRPr="00422B04">
              <w:t>2014)</w:t>
            </w:r>
          </w:p>
        </w:tc>
        <w:tc>
          <w:tcPr>
            <w:tcW w:w="819" w:type="pct"/>
            <w:tcBorders>
              <w:top w:val="single" w:sz="4" w:space="0" w:color="auto"/>
            </w:tcBorders>
          </w:tcPr>
          <w:p w14:paraId="2EC536D1" w14:textId="77777777" w:rsidR="00DF0F2F" w:rsidRDefault="00DF0F2F" w:rsidP="00673E81">
            <w:pPr>
              <w:pStyle w:val="ThesisTableText"/>
            </w:pPr>
            <w:r>
              <w:t>8,795; NZ resident adults;</w:t>
            </w:r>
          </w:p>
          <w:p w14:paraId="5ED4CB30" w14:textId="77777777" w:rsidR="00DF0F2F" w:rsidRDefault="00DF0F2F" w:rsidP="00673E81">
            <w:pPr>
              <w:pStyle w:val="ThesisTableText"/>
            </w:pPr>
            <w:r>
              <w:t>Probability sample; Entire NZ adult population</w:t>
            </w:r>
          </w:p>
        </w:tc>
        <w:tc>
          <w:tcPr>
            <w:tcW w:w="785" w:type="pct"/>
            <w:tcBorders>
              <w:top w:val="single" w:sz="4" w:space="0" w:color="auto"/>
            </w:tcBorders>
          </w:tcPr>
          <w:p w14:paraId="2483D36B" w14:textId="77777777" w:rsidR="00DF0F2F" w:rsidRDefault="00DF0F2F" w:rsidP="00673E81">
            <w:pPr>
              <w:pStyle w:val="ThesisTableText"/>
            </w:pPr>
            <w:r>
              <w:t xml:space="preserve">CAPI; Apr 2014-Mar 2015; </w:t>
            </w:r>
            <w:r w:rsidRPr="008A0511">
              <w:t xml:space="preserve">conducted </w:t>
            </w:r>
            <w:r w:rsidRPr="00954967">
              <w:t>every 2 years</w:t>
            </w:r>
          </w:p>
        </w:tc>
        <w:tc>
          <w:tcPr>
            <w:tcW w:w="1026" w:type="pct"/>
            <w:tcBorders>
              <w:top w:val="single" w:sz="4" w:space="0" w:color="auto"/>
            </w:tcBorders>
          </w:tcPr>
          <w:p w14:paraId="705287AF" w14:textId="77777777" w:rsidR="00DF0F2F" w:rsidRDefault="00DF0F2F" w:rsidP="00673E81">
            <w:pPr>
              <w:pStyle w:val="ThesisTableText"/>
            </w:pPr>
            <w:r>
              <w:t>Material standard of living</w:t>
            </w:r>
          </w:p>
          <w:p w14:paraId="292C4048" w14:textId="77777777" w:rsidR="00DF0F2F" w:rsidRDefault="00DF0F2F" w:rsidP="00673E81">
            <w:pPr>
              <w:pStyle w:val="ThesisTableText"/>
            </w:pPr>
            <w:r>
              <w:t>Health</w:t>
            </w:r>
          </w:p>
          <w:p w14:paraId="21AADFCD" w14:textId="77777777" w:rsidR="00DF0F2F" w:rsidRDefault="00DF0F2F" w:rsidP="00673E81">
            <w:pPr>
              <w:pStyle w:val="ThesisTableText"/>
            </w:pPr>
            <w:r>
              <w:t>Safety and security</w:t>
            </w:r>
          </w:p>
          <w:p w14:paraId="3358868D" w14:textId="77777777" w:rsidR="00DF0F2F" w:rsidRDefault="00DF0F2F" w:rsidP="00673E81">
            <w:pPr>
              <w:pStyle w:val="ThesisTableText"/>
            </w:pPr>
            <w:r>
              <w:t>Culture and identity</w:t>
            </w:r>
          </w:p>
          <w:p w14:paraId="662EA936" w14:textId="77777777" w:rsidR="00DF0F2F" w:rsidRDefault="00DF0F2F" w:rsidP="00673E81">
            <w:pPr>
              <w:pStyle w:val="ThesisTableText"/>
            </w:pPr>
            <w:r>
              <w:t>Housing</w:t>
            </w:r>
          </w:p>
          <w:p w14:paraId="271E5C3A" w14:textId="77777777" w:rsidR="00DF0F2F" w:rsidRDefault="00DF0F2F" w:rsidP="00673E81">
            <w:pPr>
              <w:pStyle w:val="ThesisTableText"/>
            </w:pPr>
            <w:r>
              <w:t>Social connectedness</w:t>
            </w:r>
            <w:r w:rsidRPr="00652204">
              <w:rPr>
                <w:rFonts w:ascii="Times New Roman" w:hAnsi="Times New Roman"/>
                <w:vertAlign w:val="superscript"/>
              </w:rPr>
              <w:t>†</w:t>
            </w:r>
          </w:p>
          <w:p w14:paraId="52C4EE38" w14:textId="77777777" w:rsidR="00DF0F2F" w:rsidRDefault="00DF0F2F" w:rsidP="00673E81">
            <w:pPr>
              <w:pStyle w:val="ThesisTableText"/>
            </w:pPr>
            <w:r>
              <w:t>Human rights</w:t>
            </w:r>
          </w:p>
          <w:p w14:paraId="67F3A951" w14:textId="77777777" w:rsidR="00DF0F2F" w:rsidRDefault="00DF0F2F" w:rsidP="00673E81">
            <w:pPr>
              <w:pStyle w:val="ThesisTableText"/>
            </w:pPr>
            <w:r>
              <w:t>Life satisfaction</w:t>
            </w:r>
            <w:r w:rsidRPr="00652204">
              <w:rPr>
                <w:rFonts w:ascii="Times New Roman" w:hAnsi="Times New Roman"/>
                <w:vertAlign w:val="superscript"/>
              </w:rPr>
              <w:t>†</w:t>
            </w:r>
          </w:p>
          <w:p w14:paraId="09B37380" w14:textId="77777777" w:rsidR="00DF0F2F" w:rsidRPr="00556E34" w:rsidRDefault="00DF0F2F" w:rsidP="00673E81">
            <w:pPr>
              <w:pStyle w:val="ThesisTableText"/>
            </w:pPr>
            <w:r>
              <w:t>Sense of purpose</w:t>
            </w:r>
            <w:r w:rsidRPr="006D259D">
              <w:rPr>
                <w:rFonts w:ascii="Times New Roman" w:hAnsi="Times New Roman"/>
                <w:vertAlign w:val="superscript"/>
              </w:rPr>
              <w:t>†</w:t>
            </w:r>
          </w:p>
        </w:tc>
        <w:tc>
          <w:tcPr>
            <w:tcW w:w="1594" w:type="pct"/>
            <w:tcBorders>
              <w:top w:val="single" w:sz="4" w:space="0" w:color="auto"/>
            </w:tcBorders>
          </w:tcPr>
          <w:p w14:paraId="4462BEA1" w14:textId="77777777" w:rsidR="00DF0F2F" w:rsidRDefault="00DF0F2F" w:rsidP="00673E81">
            <w:pPr>
              <w:pStyle w:val="ThesisTableText"/>
              <w:numPr>
                <w:ilvl w:val="0"/>
                <w:numId w:val="12"/>
              </w:numPr>
              <w:rPr>
                <w:rFonts w:cs="Arial"/>
              </w:rPr>
            </w:pPr>
            <w:r>
              <w:rPr>
                <w:rFonts w:cs="Arial"/>
              </w:rPr>
              <w:t>Overall, how satisfied are you with life as a whole these days? [0-10]</w:t>
            </w:r>
          </w:p>
          <w:p w14:paraId="1B380B1F" w14:textId="77777777" w:rsidR="00DF0F2F" w:rsidRDefault="00DF0F2F" w:rsidP="00673E81">
            <w:pPr>
              <w:pStyle w:val="ThesisTableText"/>
              <w:numPr>
                <w:ilvl w:val="0"/>
                <w:numId w:val="12"/>
              </w:numPr>
              <w:rPr>
                <w:rFonts w:cs="Arial"/>
              </w:rPr>
            </w:pPr>
            <w:r>
              <w:rPr>
                <w:rFonts w:cs="Arial"/>
              </w:rPr>
              <w:t>Overall, to what extent do you feel things you do in your life are worthwhile? [0-10]</w:t>
            </w:r>
          </w:p>
          <w:p w14:paraId="500F5590" w14:textId="77777777" w:rsidR="00DF0F2F" w:rsidRPr="001F1307" w:rsidRDefault="00DF0F2F" w:rsidP="00673E81">
            <w:pPr>
              <w:pStyle w:val="ThesisTableText"/>
              <w:numPr>
                <w:ilvl w:val="0"/>
                <w:numId w:val="12"/>
              </w:numPr>
              <w:rPr>
                <w:rFonts w:cs="Arial"/>
              </w:rPr>
            </w:pPr>
            <w:r w:rsidRPr="00E97CF9">
              <w:rPr>
                <w:rFonts w:cs="Arial"/>
                <w:i/>
                <w:vertAlign w:val="superscript"/>
              </w:rPr>
              <w:t>§</w:t>
            </w:r>
            <w:r>
              <w:rPr>
                <w:rFonts w:cs="Arial"/>
                <w:i/>
              </w:rPr>
              <w:t xml:space="preserve">Job satisfaction </w:t>
            </w:r>
          </w:p>
          <w:p w14:paraId="77526314" w14:textId="77777777" w:rsidR="00DF0F2F" w:rsidRDefault="00DF0F2F" w:rsidP="00673E81">
            <w:pPr>
              <w:pStyle w:val="ThesisTableText"/>
              <w:numPr>
                <w:ilvl w:val="0"/>
                <w:numId w:val="12"/>
              </w:numPr>
              <w:rPr>
                <w:rFonts w:cs="Arial"/>
              </w:rPr>
            </w:pPr>
            <w:r w:rsidRPr="00FA34E1">
              <w:rPr>
                <w:rFonts w:cs="Arial"/>
                <w:i/>
                <w:vertAlign w:val="superscript"/>
              </w:rPr>
              <w:t>§</w:t>
            </w:r>
            <w:r>
              <w:rPr>
                <w:rFonts w:cs="Arial"/>
                <w:i/>
              </w:rPr>
              <w:t>Felt lonely</w:t>
            </w:r>
            <w:r>
              <w:rPr>
                <w:rFonts w:cs="Arial"/>
              </w:rPr>
              <w:t>?</w:t>
            </w:r>
          </w:p>
          <w:p w14:paraId="2EAFFA71" w14:textId="77777777" w:rsidR="00DF0F2F" w:rsidRDefault="00DF0F2F" w:rsidP="00673E81">
            <w:pPr>
              <w:pStyle w:val="ThesisTableText"/>
              <w:numPr>
                <w:ilvl w:val="0"/>
                <w:numId w:val="12"/>
              </w:numPr>
              <w:rPr>
                <w:rFonts w:cs="Arial"/>
              </w:rPr>
            </w:pPr>
            <w:r w:rsidRPr="00FA34E1">
              <w:rPr>
                <w:rFonts w:cs="Arial"/>
                <w:i/>
                <w:vertAlign w:val="superscript"/>
              </w:rPr>
              <w:t>§</w:t>
            </w:r>
            <w:r>
              <w:rPr>
                <w:rFonts w:cs="Arial"/>
                <w:i/>
              </w:rPr>
              <w:t>Had a lot of energy</w:t>
            </w:r>
            <w:r w:rsidRPr="001F1307">
              <w:rPr>
                <w:rFonts w:cs="Arial"/>
              </w:rPr>
              <w:t>?</w:t>
            </w:r>
          </w:p>
          <w:p w14:paraId="3027846A" w14:textId="77777777" w:rsidR="00DF0F2F" w:rsidRDefault="00DF0F2F" w:rsidP="00673E81">
            <w:pPr>
              <w:pStyle w:val="ThesisTableText"/>
              <w:numPr>
                <w:ilvl w:val="0"/>
                <w:numId w:val="12"/>
              </w:numPr>
              <w:rPr>
                <w:rFonts w:cs="Arial"/>
              </w:rPr>
            </w:pPr>
            <w:r w:rsidRPr="00FA34E1">
              <w:rPr>
                <w:rFonts w:cs="Arial"/>
                <w:i/>
                <w:vertAlign w:val="superscript"/>
              </w:rPr>
              <w:t>§</w:t>
            </w:r>
            <w:r>
              <w:rPr>
                <w:rFonts w:cs="Arial"/>
                <w:i/>
              </w:rPr>
              <w:t>Felt calm</w:t>
            </w:r>
            <w:r w:rsidRPr="001F1307">
              <w:rPr>
                <w:rFonts w:cs="Arial"/>
              </w:rPr>
              <w:t>?</w:t>
            </w:r>
          </w:p>
          <w:p w14:paraId="770F954B" w14:textId="77777777" w:rsidR="00DF0F2F" w:rsidRPr="001F1307" w:rsidRDefault="00DF0F2F" w:rsidP="00673E81">
            <w:pPr>
              <w:pStyle w:val="ThesisTableText"/>
              <w:numPr>
                <w:ilvl w:val="0"/>
                <w:numId w:val="12"/>
              </w:numPr>
              <w:rPr>
                <w:rFonts w:cs="Arial"/>
              </w:rPr>
            </w:pPr>
            <w:r w:rsidRPr="00FA34E1">
              <w:rPr>
                <w:rFonts w:cs="Arial"/>
                <w:i/>
                <w:vertAlign w:val="superscript"/>
              </w:rPr>
              <w:t>§</w:t>
            </w:r>
            <w:r>
              <w:rPr>
                <w:rFonts w:cs="Arial"/>
                <w:i/>
              </w:rPr>
              <w:t>Felt depressed</w:t>
            </w:r>
            <w:r w:rsidRPr="001F1307">
              <w:rPr>
                <w:rFonts w:cs="Arial"/>
              </w:rPr>
              <w:t>?</w:t>
            </w:r>
          </w:p>
          <w:p w14:paraId="2BDF66B1" w14:textId="77777777" w:rsidR="00DF0F2F" w:rsidRDefault="00DF0F2F" w:rsidP="00673E81">
            <w:pPr>
              <w:pStyle w:val="ThesisTableText"/>
              <w:ind w:left="720"/>
              <w:rPr>
                <w:rFonts w:cs="Arial"/>
              </w:rPr>
            </w:pPr>
          </w:p>
        </w:tc>
      </w:tr>
      <w:tr w:rsidR="00DF0F2F" w:rsidRPr="00041421" w14:paraId="4946D852" w14:textId="77777777" w:rsidTr="00DF0F2F">
        <w:trPr>
          <w:cantSplit/>
          <w:trHeight w:val="20"/>
        </w:trPr>
        <w:tc>
          <w:tcPr>
            <w:tcW w:w="776" w:type="pct"/>
            <w:tcBorders>
              <w:bottom w:val="single" w:sz="4" w:space="0" w:color="auto"/>
            </w:tcBorders>
          </w:tcPr>
          <w:p w14:paraId="4A01FC03" w14:textId="77777777" w:rsidR="00DF0F2F" w:rsidRDefault="00DF0F2F" w:rsidP="00673E81">
            <w:pPr>
              <w:pStyle w:val="ThesisTableText"/>
            </w:pPr>
            <w:r>
              <w:t>New Zealand Health Survey 2014/15</w:t>
            </w:r>
          </w:p>
          <w:p w14:paraId="6D24DC5C" w14:textId="77777777" w:rsidR="00DF0F2F" w:rsidRDefault="00DF0F2F" w:rsidP="00673E81">
            <w:pPr>
              <w:pStyle w:val="ThesisTableText"/>
              <w:rPr>
                <w:i/>
              </w:rPr>
            </w:pPr>
            <w:r>
              <w:rPr>
                <w:i/>
              </w:rPr>
              <w:t>Ministry of Health</w:t>
            </w:r>
          </w:p>
          <w:p w14:paraId="492DCC0A" w14:textId="11183364" w:rsidR="00D14667" w:rsidRPr="00422B04" w:rsidRDefault="00D14667" w:rsidP="00673E81">
            <w:pPr>
              <w:pStyle w:val="ThesisTableText"/>
            </w:pPr>
            <w:r w:rsidRPr="00422B04">
              <w:t xml:space="preserve">(Ministry of Health, </w:t>
            </w:r>
            <w:r w:rsidR="006B3FE3" w:rsidRPr="00422B04">
              <w:t>2015</w:t>
            </w:r>
            <w:r w:rsidRPr="00422B04">
              <w:t>)</w:t>
            </w:r>
          </w:p>
        </w:tc>
        <w:tc>
          <w:tcPr>
            <w:tcW w:w="819" w:type="pct"/>
            <w:tcBorders>
              <w:bottom w:val="single" w:sz="4" w:space="0" w:color="auto"/>
            </w:tcBorders>
          </w:tcPr>
          <w:p w14:paraId="7CF98A60" w14:textId="77777777" w:rsidR="00DF0F2F" w:rsidRDefault="00DF0F2F" w:rsidP="00673E81">
            <w:pPr>
              <w:pStyle w:val="ThesisTableText"/>
            </w:pPr>
            <w:r>
              <w:t>13,497; NZ resident adults;</w:t>
            </w:r>
          </w:p>
          <w:p w14:paraId="0C3E708D" w14:textId="77777777" w:rsidR="00DF0F2F" w:rsidRDefault="00DF0F2F" w:rsidP="00673E81">
            <w:pPr>
              <w:pStyle w:val="ThesisTableText"/>
            </w:pPr>
            <w:r>
              <w:t>Probability sample; Entire NZ adult population</w:t>
            </w:r>
            <w:r w:rsidDel="000F512A">
              <w:t xml:space="preserve"> </w:t>
            </w:r>
          </w:p>
        </w:tc>
        <w:tc>
          <w:tcPr>
            <w:tcW w:w="785" w:type="pct"/>
            <w:tcBorders>
              <w:bottom w:val="single" w:sz="4" w:space="0" w:color="auto"/>
            </w:tcBorders>
          </w:tcPr>
          <w:p w14:paraId="52708572" w14:textId="77777777" w:rsidR="00DF0F2F" w:rsidRDefault="00DF0F2F" w:rsidP="00673E81">
            <w:pPr>
              <w:pStyle w:val="ThesisTableText"/>
            </w:pPr>
            <w:r>
              <w:t>CAPI; Jul 2014-Jun 2015; conducted annually</w:t>
            </w:r>
          </w:p>
        </w:tc>
        <w:tc>
          <w:tcPr>
            <w:tcW w:w="1026" w:type="pct"/>
            <w:tcBorders>
              <w:bottom w:val="single" w:sz="4" w:space="0" w:color="auto"/>
            </w:tcBorders>
          </w:tcPr>
          <w:p w14:paraId="41BC5768" w14:textId="77777777" w:rsidR="00DF0F2F" w:rsidRDefault="00DF0F2F" w:rsidP="00673E81">
            <w:pPr>
              <w:pStyle w:val="ThesisTableText"/>
            </w:pPr>
            <w:r>
              <w:t>Long-term health conditions</w:t>
            </w:r>
          </w:p>
          <w:p w14:paraId="71720752" w14:textId="77777777" w:rsidR="00DF0F2F" w:rsidRDefault="00DF0F2F" w:rsidP="00673E81">
            <w:pPr>
              <w:pStyle w:val="ThesisTableText"/>
            </w:pPr>
            <w:r>
              <w:t>Health status</w:t>
            </w:r>
          </w:p>
          <w:p w14:paraId="3E8FCD20" w14:textId="77777777" w:rsidR="00DF0F2F" w:rsidRDefault="00DF0F2F" w:rsidP="00673E81">
            <w:pPr>
              <w:pStyle w:val="ThesisTableText"/>
            </w:pPr>
            <w:r>
              <w:t>Health behaviours</w:t>
            </w:r>
          </w:p>
          <w:p w14:paraId="2DBD13AD" w14:textId="77777777" w:rsidR="00DF0F2F" w:rsidRDefault="00DF0F2F" w:rsidP="00673E81">
            <w:pPr>
              <w:pStyle w:val="ThesisTableText"/>
            </w:pPr>
            <w:r>
              <w:t>Health service utilisation and patient experience</w:t>
            </w:r>
          </w:p>
          <w:p w14:paraId="49A89F86" w14:textId="77777777" w:rsidR="00DF0F2F" w:rsidRDefault="00DF0F2F" w:rsidP="00673E81">
            <w:pPr>
              <w:pStyle w:val="ThesisTableText"/>
            </w:pPr>
            <w:r>
              <w:t>Rheumatic fever</w:t>
            </w:r>
          </w:p>
          <w:p w14:paraId="64FCC30D" w14:textId="77777777" w:rsidR="00DF0F2F" w:rsidRDefault="00DF0F2F" w:rsidP="00673E81">
            <w:pPr>
              <w:pStyle w:val="ThesisTableText"/>
            </w:pPr>
            <w:r>
              <w:t>Sociodemographic</w:t>
            </w:r>
          </w:p>
          <w:p w14:paraId="4FD3AEBA" w14:textId="77777777" w:rsidR="00DF0F2F" w:rsidRDefault="00DF0F2F" w:rsidP="00673E81">
            <w:pPr>
              <w:pStyle w:val="ThesisTableText"/>
            </w:pPr>
            <w:r>
              <w:t>Household composition</w:t>
            </w:r>
          </w:p>
          <w:p w14:paraId="06E2E9B8" w14:textId="77777777" w:rsidR="00DF0F2F" w:rsidRPr="00556E34" w:rsidRDefault="00DF0F2F" w:rsidP="00673E81">
            <w:pPr>
              <w:pStyle w:val="ThesisTableText"/>
            </w:pPr>
            <w:r>
              <w:t>Anthropometry</w:t>
            </w:r>
          </w:p>
        </w:tc>
        <w:tc>
          <w:tcPr>
            <w:tcW w:w="1594" w:type="pct"/>
            <w:tcBorders>
              <w:bottom w:val="single" w:sz="4" w:space="0" w:color="auto"/>
            </w:tcBorders>
          </w:tcPr>
          <w:p w14:paraId="4A2CEAA5" w14:textId="77777777" w:rsidR="00DF0F2F" w:rsidRPr="009C653E" w:rsidRDefault="00DF0F2F" w:rsidP="00673E81">
            <w:pPr>
              <w:pStyle w:val="ThesisTableText"/>
              <w:numPr>
                <w:ilvl w:val="0"/>
                <w:numId w:val="13"/>
              </w:numPr>
              <w:rPr>
                <w:rFonts w:cs="Arial"/>
              </w:rPr>
            </w:pPr>
            <w:r w:rsidRPr="00FA34E1">
              <w:rPr>
                <w:rFonts w:cs="Arial"/>
                <w:i/>
                <w:vertAlign w:val="superscript"/>
              </w:rPr>
              <w:t>§</w:t>
            </w:r>
            <w:r>
              <w:rPr>
                <w:rFonts w:cs="Arial"/>
                <w:i/>
              </w:rPr>
              <w:t>Had a lot of energy?</w:t>
            </w:r>
          </w:p>
          <w:p w14:paraId="38329BA0" w14:textId="77777777" w:rsidR="00DF0F2F" w:rsidRPr="009C653E" w:rsidRDefault="00DF0F2F" w:rsidP="00673E81">
            <w:pPr>
              <w:pStyle w:val="ThesisTableText"/>
              <w:numPr>
                <w:ilvl w:val="0"/>
                <w:numId w:val="13"/>
              </w:numPr>
              <w:rPr>
                <w:rFonts w:cs="Arial"/>
              </w:rPr>
            </w:pPr>
            <w:r w:rsidRPr="00FA34E1">
              <w:rPr>
                <w:rFonts w:cs="Arial"/>
                <w:i/>
                <w:vertAlign w:val="superscript"/>
              </w:rPr>
              <w:t>§</w:t>
            </w:r>
            <w:r>
              <w:rPr>
                <w:rFonts w:cs="Arial"/>
                <w:i/>
              </w:rPr>
              <w:t>Felt calm</w:t>
            </w:r>
            <w:r w:rsidR="0075741A">
              <w:rPr>
                <w:rFonts w:cs="Arial"/>
                <w:i/>
              </w:rPr>
              <w:t xml:space="preserve"> and peaceful</w:t>
            </w:r>
            <w:r>
              <w:rPr>
                <w:rFonts w:cs="Arial"/>
                <w:i/>
              </w:rPr>
              <w:t>?</w:t>
            </w:r>
          </w:p>
          <w:p w14:paraId="0889213F" w14:textId="77777777" w:rsidR="00DF0F2F" w:rsidRPr="009C653E" w:rsidRDefault="00DF0F2F" w:rsidP="00673E81">
            <w:pPr>
              <w:pStyle w:val="ThesisTableText"/>
              <w:numPr>
                <w:ilvl w:val="0"/>
                <w:numId w:val="13"/>
              </w:numPr>
              <w:rPr>
                <w:rFonts w:cs="Arial"/>
              </w:rPr>
            </w:pPr>
            <w:r w:rsidRPr="00FA34E1">
              <w:rPr>
                <w:rFonts w:cs="Arial"/>
                <w:i/>
                <w:vertAlign w:val="superscript"/>
              </w:rPr>
              <w:t>§</w:t>
            </w:r>
            <w:r>
              <w:rPr>
                <w:rFonts w:cs="Arial"/>
                <w:i/>
              </w:rPr>
              <w:t>Felt depressed?</w:t>
            </w:r>
          </w:p>
          <w:p w14:paraId="0FCD1261" w14:textId="77777777" w:rsidR="00DF0F2F" w:rsidRDefault="00DF0F2F" w:rsidP="00673E81">
            <w:pPr>
              <w:pStyle w:val="ThesisTableText"/>
              <w:ind w:left="720"/>
              <w:rPr>
                <w:rFonts w:cs="Arial"/>
              </w:rPr>
            </w:pPr>
          </w:p>
        </w:tc>
      </w:tr>
      <w:tr w:rsidR="00DF0F2F" w:rsidRPr="00041421" w14:paraId="42750C49" w14:textId="77777777" w:rsidTr="00DF0F2F">
        <w:trPr>
          <w:cantSplit/>
          <w:trHeight w:val="20"/>
        </w:trPr>
        <w:tc>
          <w:tcPr>
            <w:tcW w:w="776" w:type="pct"/>
            <w:tcBorders>
              <w:top w:val="single" w:sz="4" w:space="0" w:color="auto"/>
            </w:tcBorders>
          </w:tcPr>
          <w:p w14:paraId="3DE5ADC3" w14:textId="77777777" w:rsidR="00DF0F2F" w:rsidRDefault="00DF0F2F" w:rsidP="00673E81">
            <w:pPr>
              <w:pStyle w:val="ThesisTableText"/>
            </w:pPr>
            <w:r>
              <w:lastRenderedPageBreak/>
              <w:t xml:space="preserve">Longitudinal Immigration Survey </w:t>
            </w:r>
            <w:r w:rsidRPr="00FE2D64">
              <w:t>Wave 3 2009</w:t>
            </w:r>
          </w:p>
          <w:p w14:paraId="7762706E" w14:textId="77777777" w:rsidR="00DF0F2F" w:rsidRDefault="00DF0F2F" w:rsidP="00673E81">
            <w:pPr>
              <w:pStyle w:val="ThesisTableText"/>
              <w:rPr>
                <w:i/>
              </w:rPr>
            </w:pPr>
            <w:r>
              <w:rPr>
                <w:i/>
              </w:rPr>
              <w:t>Statistics New Zealand</w:t>
            </w:r>
          </w:p>
          <w:p w14:paraId="2F47E1DD" w14:textId="16801683" w:rsidR="00422B04" w:rsidRPr="00422B04" w:rsidRDefault="00422B04" w:rsidP="00673E81">
            <w:pPr>
              <w:pStyle w:val="ThesisTableText"/>
            </w:pPr>
            <w:r w:rsidRPr="00422B04">
              <w:t>(Statistics New Zealand, 2010)</w:t>
            </w:r>
          </w:p>
        </w:tc>
        <w:tc>
          <w:tcPr>
            <w:tcW w:w="819" w:type="pct"/>
            <w:tcBorders>
              <w:top w:val="single" w:sz="4" w:space="0" w:color="auto"/>
            </w:tcBorders>
          </w:tcPr>
          <w:p w14:paraId="73B0B4D2" w14:textId="77777777" w:rsidR="00DF0F2F" w:rsidRDefault="00DF0F2F" w:rsidP="00673E81">
            <w:pPr>
              <w:pStyle w:val="ThesisTableText"/>
            </w:pPr>
            <w:r>
              <w:t>5,144; NZ migrant adults;</w:t>
            </w:r>
          </w:p>
          <w:p w14:paraId="5D15DED0" w14:textId="341617BF" w:rsidR="00DF0F2F" w:rsidRPr="00F4745F" w:rsidRDefault="00DF0F2F" w:rsidP="00673E81">
            <w:pPr>
              <w:pStyle w:val="ThesisTableText"/>
              <w:rPr>
                <w:color w:val="FF0000"/>
              </w:rPr>
            </w:pPr>
            <w:r>
              <w:t>Probability sample</w:t>
            </w:r>
            <w:r w:rsidRPr="00E76D99">
              <w:t>; M</w:t>
            </w:r>
            <w:r w:rsidRPr="00F4745F">
              <w:t>igrants approved for permanent residence</w:t>
            </w:r>
          </w:p>
          <w:p w14:paraId="2B11BB96" w14:textId="77777777" w:rsidR="00DF0F2F" w:rsidRDefault="00DF0F2F" w:rsidP="00673E81">
            <w:pPr>
              <w:pStyle w:val="ThesisTableText"/>
            </w:pPr>
          </w:p>
        </w:tc>
        <w:tc>
          <w:tcPr>
            <w:tcW w:w="785" w:type="pct"/>
            <w:tcBorders>
              <w:top w:val="single" w:sz="4" w:space="0" w:color="auto"/>
            </w:tcBorders>
          </w:tcPr>
          <w:p w14:paraId="62564427" w14:textId="77777777" w:rsidR="00DF0F2F" w:rsidRDefault="00DF0F2F" w:rsidP="00673E81">
            <w:pPr>
              <w:pStyle w:val="ThesisTableText"/>
            </w:pPr>
            <w:r>
              <w:t xml:space="preserve">CAPI; Nov 2007-Nov 2009; longitudinal, conducted annually </w:t>
            </w:r>
          </w:p>
        </w:tc>
        <w:tc>
          <w:tcPr>
            <w:tcW w:w="1026" w:type="pct"/>
            <w:tcBorders>
              <w:top w:val="single" w:sz="4" w:space="0" w:color="auto"/>
            </w:tcBorders>
          </w:tcPr>
          <w:p w14:paraId="22818421" w14:textId="77777777" w:rsidR="00DF0F2F" w:rsidRDefault="00DF0F2F" w:rsidP="00673E81">
            <w:pPr>
              <w:pStyle w:val="ThesisTableText"/>
            </w:pPr>
            <w:r>
              <w:t>Demographics</w:t>
            </w:r>
          </w:p>
          <w:p w14:paraId="5DB6B868" w14:textId="77777777" w:rsidR="00DF0F2F" w:rsidRDefault="00DF0F2F" w:rsidP="00673E81">
            <w:pPr>
              <w:pStyle w:val="ThesisTableText"/>
            </w:pPr>
            <w:r>
              <w:t>Initial settlement and location</w:t>
            </w:r>
          </w:p>
          <w:p w14:paraId="45CD667E" w14:textId="77777777" w:rsidR="00DF0F2F" w:rsidRDefault="00DF0F2F" w:rsidP="00673E81">
            <w:pPr>
              <w:pStyle w:val="ThesisTableText"/>
            </w:pPr>
            <w:r>
              <w:t>Housing and living arrangements</w:t>
            </w:r>
          </w:p>
          <w:p w14:paraId="73E1BB26" w14:textId="77777777" w:rsidR="00DF0F2F" w:rsidRDefault="00DF0F2F" w:rsidP="00673E81">
            <w:pPr>
              <w:pStyle w:val="ThesisTableText"/>
            </w:pPr>
            <w:r>
              <w:t>Settlement and satisfaction with life in New Zealand</w:t>
            </w:r>
            <w:r w:rsidRPr="00652204">
              <w:rPr>
                <w:rFonts w:ascii="Times New Roman" w:hAnsi="Times New Roman"/>
                <w:vertAlign w:val="superscript"/>
              </w:rPr>
              <w:t>†</w:t>
            </w:r>
          </w:p>
          <w:p w14:paraId="35D596AB" w14:textId="77777777" w:rsidR="00DF0F2F" w:rsidRDefault="00DF0F2F" w:rsidP="00673E81">
            <w:pPr>
              <w:pStyle w:val="ThesisTableText"/>
            </w:pPr>
            <w:r>
              <w:t xml:space="preserve">Spouse </w:t>
            </w:r>
          </w:p>
          <w:p w14:paraId="5E01ED52" w14:textId="77777777" w:rsidR="00DF0F2F" w:rsidRDefault="00DF0F2F" w:rsidP="00673E81">
            <w:pPr>
              <w:pStyle w:val="ThesisTableText"/>
            </w:pPr>
            <w:r>
              <w:t xml:space="preserve">Child </w:t>
            </w:r>
          </w:p>
          <w:p w14:paraId="0AFA3C68" w14:textId="77777777" w:rsidR="00DF0F2F" w:rsidRDefault="00DF0F2F" w:rsidP="00673E81">
            <w:pPr>
              <w:pStyle w:val="ThesisTableText"/>
            </w:pPr>
            <w:r>
              <w:t>Health</w:t>
            </w:r>
          </w:p>
          <w:p w14:paraId="3CEC1E8C" w14:textId="77777777" w:rsidR="00DF0F2F" w:rsidRDefault="00DF0F2F" w:rsidP="00673E81">
            <w:pPr>
              <w:pStyle w:val="ThesisTableText"/>
            </w:pPr>
            <w:r>
              <w:t>Social and community networks</w:t>
            </w:r>
            <w:r w:rsidRPr="00652204">
              <w:rPr>
                <w:rFonts w:ascii="Times New Roman" w:hAnsi="Times New Roman"/>
                <w:vertAlign w:val="superscript"/>
              </w:rPr>
              <w:t>†</w:t>
            </w:r>
          </w:p>
          <w:p w14:paraId="495CC69D" w14:textId="77777777" w:rsidR="00DF0F2F" w:rsidRDefault="00DF0F2F" w:rsidP="00673E81">
            <w:pPr>
              <w:pStyle w:val="ThesisTableText"/>
            </w:pPr>
            <w:r>
              <w:t>Use of government and non-government support services</w:t>
            </w:r>
          </w:p>
          <w:p w14:paraId="073C4224" w14:textId="77777777" w:rsidR="00DF0F2F" w:rsidRDefault="00DF0F2F" w:rsidP="00673E81">
            <w:pPr>
              <w:pStyle w:val="ThesisTableText"/>
            </w:pPr>
            <w:r>
              <w:t>Employment</w:t>
            </w:r>
          </w:p>
          <w:p w14:paraId="2DC20F09" w14:textId="77777777" w:rsidR="00DF0F2F" w:rsidRDefault="00DF0F2F" w:rsidP="00673E81">
            <w:pPr>
              <w:pStyle w:val="ThesisTableText"/>
            </w:pPr>
            <w:r>
              <w:t>Income and finances</w:t>
            </w:r>
          </w:p>
          <w:p w14:paraId="08C78957" w14:textId="77777777" w:rsidR="00DF0F2F" w:rsidRDefault="00DF0F2F" w:rsidP="00673E81">
            <w:pPr>
              <w:pStyle w:val="ThesisTableText"/>
            </w:pPr>
            <w:r>
              <w:t>Education, qualifications, and skill levels</w:t>
            </w:r>
          </w:p>
          <w:p w14:paraId="69EC8381" w14:textId="77777777" w:rsidR="00DF0F2F" w:rsidRPr="00556E34" w:rsidRDefault="00DF0F2F" w:rsidP="00673E81">
            <w:pPr>
              <w:pStyle w:val="ThesisTableText"/>
            </w:pPr>
            <w:r>
              <w:t>English language proficiency</w:t>
            </w:r>
          </w:p>
        </w:tc>
        <w:tc>
          <w:tcPr>
            <w:tcW w:w="1594" w:type="pct"/>
            <w:tcBorders>
              <w:top w:val="single" w:sz="4" w:space="0" w:color="auto"/>
            </w:tcBorders>
          </w:tcPr>
          <w:p w14:paraId="317DCED8" w14:textId="77777777" w:rsidR="00DF0F2F" w:rsidRDefault="00DF0F2F" w:rsidP="00673E81">
            <w:pPr>
              <w:pStyle w:val="ThesisTableText"/>
              <w:jc w:val="center"/>
              <w:rPr>
                <w:rFonts w:cs="Arial"/>
              </w:rPr>
            </w:pPr>
            <w:r>
              <w:rPr>
                <w:rFonts w:cs="Arial"/>
              </w:rPr>
              <w:t>Questionnaire unavailable</w:t>
            </w:r>
          </w:p>
        </w:tc>
      </w:tr>
      <w:tr w:rsidR="00DF0F2F" w:rsidRPr="00041421" w14:paraId="0FD66F4C" w14:textId="77777777" w:rsidTr="00673E81">
        <w:trPr>
          <w:cantSplit/>
          <w:trHeight w:val="20"/>
        </w:trPr>
        <w:tc>
          <w:tcPr>
            <w:tcW w:w="776" w:type="pct"/>
          </w:tcPr>
          <w:p w14:paraId="1F6521DD" w14:textId="77777777" w:rsidR="00DF0F2F" w:rsidRDefault="00DF0F2F" w:rsidP="00673E81">
            <w:pPr>
              <w:pStyle w:val="ThesisTableText"/>
            </w:pPr>
            <w:r>
              <w:t>The New Zealand Attitudes and Values Survey Wave 7 2015/16</w:t>
            </w:r>
          </w:p>
          <w:p w14:paraId="52225658" w14:textId="77777777" w:rsidR="00DF0F2F" w:rsidRDefault="00DF0F2F" w:rsidP="00673E81">
            <w:pPr>
              <w:pStyle w:val="ThesisTableText"/>
              <w:rPr>
                <w:i/>
              </w:rPr>
            </w:pPr>
            <w:r>
              <w:rPr>
                <w:i/>
              </w:rPr>
              <w:t>University of Auckland</w:t>
            </w:r>
          </w:p>
          <w:p w14:paraId="05D0F0DB" w14:textId="0A575D17" w:rsidR="00667FCE" w:rsidRPr="00667FCE" w:rsidRDefault="00667FCE" w:rsidP="00673E81">
            <w:pPr>
              <w:pStyle w:val="ThesisTableText"/>
            </w:pPr>
            <w:r>
              <w:t>(Sibley, 2014)</w:t>
            </w:r>
          </w:p>
        </w:tc>
        <w:tc>
          <w:tcPr>
            <w:tcW w:w="819" w:type="pct"/>
          </w:tcPr>
          <w:p w14:paraId="3BB4C5AB" w14:textId="77777777" w:rsidR="00DF0F2F" w:rsidRDefault="00DF0F2F" w:rsidP="00673E81">
            <w:pPr>
              <w:pStyle w:val="ThesisTableText"/>
            </w:pPr>
            <w:r>
              <w:t>NZ adults;</w:t>
            </w:r>
          </w:p>
          <w:p w14:paraId="21100F3C" w14:textId="77777777" w:rsidR="00DF0F2F" w:rsidRDefault="00DF0F2F" w:rsidP="00673E81">
            <w:pPr>
              <w:pStyle w:val="ThesisTableText"/>
            </w:pPr>
            <w:r>
              <w:t>Probability sample; Electoral roll</w:t>
            </w:r>
          </w:p>
          <w:p w14:paraId="002529AC" w14:textId="77777777" w:rsidR="00DF0F2F" w:rsidRPr="00556E34" w:rsidRDefault="00DF0F2F" w:rsidP="00673E81">
            <w:pPr>
              <w:pStyle w:val="ThesisTableText"/>
            </w:pPr>
          </w:p>
        </w:tc>
        <w:tc>
          <w:tcPr>
            <w:tcW w:w="785" w:type="pct"/>
          </w:tcPr>
          <w:p w14:paraId="2CBC59CB" w14:textId="77777777" w:rsidR="00DF0F2F" w:rsidRPr="00556E34" w:rsidRDefault="00DF0F2F" w:rsidP="00673E81">
            <w:pPr>
              <w:pStyle w:val="ThesisTableText"/>
            </w:pPr>
            <w:r>
              <w:t xml:space="preserve">Postal or online survey; </w:t>
            </w:r>
            <w:r w:rsidR="006C20D0">
              <w:t>c</w:t>
            </w:r>
            <w:r w:rsidR="006C20D0" w:rsidRPr="006C20D0">
              <w:t>urrent s</w:t>
            </w:r>
            <w:r w:rsidRPr="006C20D0">
              <w:t>urvey period</w:t>
            </w:r>
            <w:r w:rsidR="006C20D0" w:rsidRPr="006C20D0">
              <w:t xml:space="preserve"> unavailable</w:t>
            </w:r>
            <w:r w:rsidRPr="006C20D0">
              <w:t xml:space="preserve">; </w:t>
            </w:r>
            <w:r w:rsidRPr="006D01F8">
              <w:t>longitudinal,</w:t>
            </w:r>
            <w:r>
              <w:rPr>
                <w:color w:val="FF0000"/>
              </w:rPr>
              <w:t xml:space="preserve"> </w:t>
            </w:r>
            <w:r w:rsidRPr="006D01F8">
              <w:t>conducted annually</w:t>
            </w:r>
          </w:p>
        </w:tc>
        <w:tc>
          <w:tcPr>
            <w:tcW w:w="1026" w:type="pct"/>
          </w:tcPr>
          <w:p w14:paraId="50CD7DF7" w14:textId="77777777" w:rsidR="00DF0F2F" w:rsidRDefault="004C326A" w:rsidP="00673E81">
            <w:pPr>
              <w:pStyle w:val="ThesisTableText"/>
            </w:pPr>
            <w:r>
              <w:t>Self-evaluation</w:t>
            </w:r>
            <w:r w:rsidR="005F1EA2" w:rsidRPr="00652204">
              <w:rPr>
                <w:rFonts w:ascii="Times New Roman" w:hAnsi="Times New Roman"/>
                <w:vertAlign w:val="superscript"/>
              </w:rPr>
              <w:t>†</w:t>
            </w:r>
          </w:p>
          <w:p w14:paraId="76663DF3" w14:textId="77777777" w:rsidR="004C326A" w:rsidRDefault="004C326A" w:rsidP="00673E81">
            <w:pPr>
              <w:pStyle w:val="ThesisTableText"/>
            </w:pPr>
            <w:r>
              <w:t>Satisfaction with life and New Zealand</w:t>
            </w:r>
            <w:r w:rsidR="005F1EA2" w:rsidRPr="00652204">
              <w:rPr>
                <w:rFonts w:ascii="Times New Roman" w:hAnsi="Times New Roman"/>
                <w:vertAlign w:val="superscript"/>
              </w:rPr>
              <w:t>†</w:t>
            </w:r>
          </w:p>
          <w:p w14:paraId="4B638F95" w14:textId="77777777" w:rsidR="004C326A" w:rsidRDefault="004C326A" w:rsidP="00673E81">
            <w:pPr>
              <w:pStyle w:val="ThesisTableText"/>
            </w:pPr>
            <w:r>
              <w:t>Feelings toward different ethnic groups</w:t>
            </w:r>
          </w:p>
          <w:p w14:paraId="45882E28" w14:textId="77777777" w:rsidR="004C326A" w:rsidRDefault="004C326A" w:rsidP="00673E81">
            <w:pPr>
              <w:pStyle w:val="ThesisTableText"/>
            </w:pPr>
            <w:r>
              <w:t>Life values and principles</w:t>
            </w:r>
          </w:p>
          <w:p w14:paraId="145F8502" w14:textId="77777777" w:rsidR="004C326A" w:rsidRDefault="004C326A" w:rsidP="00673E81">
            <w:pPr>
              <w:pStyle w:val="ThesisTableText"/>
            </w:pPr>
            <w:r>
              <w:t>Policies and political issues</w:t>
            </w:r>
          </w:p>
          <w:p w14:paraId="2F7E545A" w14:textId="77777777" w:rsidR="004C326A" w:rsidRDefault="004C326A" w:rsidP="00673E81">
            <w:pPr>
              <w:pStyle w:val="ThesisTableText"/>
            </w:pPr>
            <w:r>
              <w:t>Demographics</w:t>
            </w:r>
          </w:p>
          <w:p w14:paraId="1C76C422" w14:textId="77777777" w:rsidR="004C326A" w:rsidRPr="004C326A" w:rsidRDefault="004C326A" w:rsidP="00673E81">
            <w:pPr>
              <w:pStyle w:val="ThesisTableText"/>
            </w:pPr>
            <w:r>
              <w:t>Religion/spirituality</w:t>
            </w:r>
          </w:p>
        </w:tc>
        <w:tc>
          <w:tcPr>
            <w:tcW w:w="1594" w:type="pct"/>
          </w:tcPr>
          <w:p w14:paraId="134F121D" w14:textId="77777777" w:rsidR="00DF0F2F" w:rsidRDefault="00DF0F2F" w:rsidP="00673E81">
            <w:pPr>
              <w:pStyle w:val="ThesisTableText"/>
              <w:numPr>
                <w:ilvl w:val="0"/>
                <w:numId w:val="15"/>
              </w:numPr>
              <w:rPr>
                <w:rFonts w:cs="Arial"/>
              </w:rPr>
            </w:pPr>
            <w:r>
              <w:rPr>
                <w:rFonts w:cs="Arial"/>
              </w:rPr>
              <w:t>How satisfied are you with your health? [0-10]</w:t>
            </w:r>
          </w:p>
          <w:p w14:paraId="5B769A21" w14:textId="77777777" w:rsidR="00DF0F2F" w:rsidRDefault="00DF0F2F" w:rsidP="00673E81">
            <w:pPr>
              <w:pStyle w:val="ThesisTableText"/>
              <w:numPr>
                <w:ilvl w:val="0"/>
                <w:numId w:val="15"/>
              </w:numPr>
              <w:rPr>
                <w:rFonts w:cs="Arial"/>
              </w:rPr>
            </w:pPr>
            <w:r>
              <w:rPr>
                <w:rFonts w:cs="Arial"/>
              </w:rPr>
              <w:t>How satisfied are you with your personal relationships? [0-10]</w:t>
            </w:r>
          </w:p>
          <w:p w14:paraId="7003DBA5" w14:textId="77777777" w:rsidR="00DF0F2F" w:rsidRDefault="00DF0F2F" w:rsidP="00673E81">
            <w:pPr>
              <w:pStyle w:val="ThesisTableText"/>
              <w:numPr>
                <w:ilvl w:val="0"/>
                <w:numId w:val="15"/>
              </w:numPr>
              <w:rPr>
                <w:rFonts w:cs="Arial"/>
              </w:rPr>
            </w:pPr>
            <w:r>
              <w:rPr>
                <w:rFonts w:cs="Arial"/>
              </w:rPr>
              <w:t>How satisfied are you with your future security? [0-10]</w:t>
            </w:r>
          </w:p>
          <w:p w14:paraId="5F0E4C37" w14:textId="77777777" w:rsidR="00DF0F2F" w:rsidRDefault="00DF0F2F" w:rsidP="00673E81">
            <w:pPr>
              <w:pStyle w:val="ThesisTableText"/>
              <w:numPr>
                <w:ilvl w:val="0"/>
                <w:numId w:val="15"/>
              </w:numPr>
              <w:rPr>
                <w:rFonts w:cs="Arial"/>
              </w:rPr>
            </w:pPr>
            <w:r>
              <w:rPr>
                <w:rFonts w:cs="Arial"/>
              </w:rPr>
              <w:t>I am satisfied with my life [1-7]</w:t>
            </w:r>
          </w:p>
          <w:p w14:paraId="428EBCD0" w14:textId="77777777" w:rsidR="00DF0F2F" w:rsidRDefault="00DF0F2F" w:rsidP="00673E81">
            <w:pPr>
              <w:pStyle w:val="ThesisTableText"/>
              <w:numPr>
                <w:ilvl w:val="0"/>
                <w:numId w:val="15"/>
              </w:numPr>
              <w:rPr>
                <w:rFonts w:cs="Arial"/>
              </w:rPr>
            </w:pPr>
            <w:r>
              <w:rPr>
                <w:rFonts w:cs="Arial"/>
              </w:rPr>
              <w:t>In most ways my life is close to ideal [1-7]</w:t>
            </w:r>
          </w:p>
          <w:p w14:paraId="78EE4170" w14:textId="77777777" w:rsidR="00DF0F2F" w:rsidRPr="009C653E" w:rsidRDefault="00DF0F2F" w:rsidP="00673E81">
            <w:pPr>
              <w:pStyle w:val="ThesisTableText"/>
              <w:numPr>
                <w:ilvl w:val="0"/>
                <w:numId w:val="15"/>
              </w:numPr>
              <w:rPr>
                <w:rFonts w:cs="Arial"/>
              </w:rPr>
            </w:pPr>
            <w:r w:rsidRPr="00FA34E1">
              <w:rPr>
                <w:rFonts w:cs="Arial"/>
                <w:i/>
                <w:vertAlign w:val="superscript"/>
              </w:rPr>
              <w:t>§</w:t>
            </w:r>
            <w:r>
              <w:rPr>
                <w:rFonts w:cs="Arial"/>
                <w:i/>
              </w:rPr>
              <w:t>Felt depressed?</w:t>
            </w:r>
          </w:p>
          <w:p w14:paraId="675169A2" w14:textId="77777777" w:rsidR="00DF0F2F" w:rsidRPr="009C653E" w:rsidRDefault="00DF0F2F" w:rsidP="00673E81">
            <w:pPr>
              <w:pStyle w:val="ThesisTableText"/>
              <w:numPr>
                <w:ilvl w:val="0"/>
                <w:numId w:val="15"/>
              </w:numPr>
              <w:rPr>
                <w:rFonts w:cs="Arial"/>
              </w:rPr>
            </w:pPr>
            <w:r w:rsidRPr="00FA34E1">
              <w:rPr>
                <w:rFonts w:cs="Arial"/>
                <w:i/>
                <w:vertAlign w:val="superscript"/>
              </w:rPr>
              <w:t>§</w:t>
            </w:r>
            <w:r>
              <w:rPr>
                <w:rFonts w:cs="Arial"/>
                <w:i/>
              </w:rPr>
              <w:t>Job satisfaction</w:t>
            </w:r>
          </w:p>
          <w:p w14:paraId="394E671C" w14:textId="77777777" w:rsidR="00DF0F2F" w:rsidRPr="009C653E" w:rsidRDefault="00DF0F2F" w:rsidP="00673E81">
            <w:pPr>
              <w:pStyle w:val="ThesisTableText"/>
              <w:ind w:left="720"/>
              <w:rPr>
                <w:rFonts w:cs="Arial"/>
              </w:rPr>
            </w:pPr>
          </w:p>
        </w:tc>
      </w:tr>
      <w:tr w:rsidR="00DF0F2F" w:rsidRPr="00041421" w14:paraId="7FE7CF7C" w14:textId="77777777" w:rsidTr="00673E81">
        <w:trPr>
          <w:cantSplit/>
          <w:trHeight w:val="20"/>
        </w:trPr>
        <w:tc>
          <w:tcPr>
            <w:tcW w:w="776" w:type="pct"/>
          </w:tcPr>
          <w:p w14:paraId="30786D15" w14:textId="77777777" w:rsidR="00DF0F2F" w:rsidRDefault="00DF0F2F" w:rsidP="00673E81">
            <w:pPr>
              <w:pStyle w:val="ThesisTableText"/>
            </w:pPr>
            <w:r>
              <w:lastRenderedPageBreak/>
              <w:t>Quality of Life Survey 2014</w:t>
            </w:r>
          </w:p>
          <w:p w14:paraId="45B53E0F" w14:textId="77777777" w:rsidR="00DF0F2F" w:rsidRDefault="00DF0F2F" w:rsidP="00673E81">
            <w:pPr>
              <w:pStyle w:val="ThesisTableText"/>
              <w:rPr>
                <w:i/>
              </w:rPr>
            </w:pPr>
            <w:r w:rsidRPr="00F4745F">
              <w:rPr>
                <w:i/>
              </w:rPr>
              <w:t xml:space="preserve">Auckland Council, Wellington, </w:t>
            </w:r>
            <w:proofErr w:type="spellStart"/>
            <w:r w:rsidRPr="00F4745F">
              <w:rPr>
                <w:i/>
              </w:rPr>
              <w:t>Porirua</w:t>
            </w:r>
            <w:proofErr w:type="spellEnd"/>
            <w:r w:rsidRPr="00F4745F">
              <w:rPr>
                <w:i/>
              </w:rPr>
              <w:t>, Hutt, Christchurch and Dunedin City Councils</w:t>
            </w:r>
          </w:p>
          <w:p w14:paraId="16FD9A7E" w14:textId="551A9B51" w:rsidR="00A62010" w:rsidRPr="00A62010" w:rsidRDefault="00A62010" w:rsidP="00673E81">
            <w:pPr>
              <w:pStyle w:val="ThesisTableText"/>
            </w:pPr>
            <w:r>
              <w:t>(Quality of Life, 2014)</w:t>
            </w:r>
          </w:p>
        </w:tc>
        <w:tc>
          <w:tcPr>
            <w:tcW w:w="819" w:type="pct"/>
          </w:tcPr>
          <w:p w14:paraId="1A1CA1C7" w14:textId="77777777" w:rsidR="00DF0F2F" w:rsidRPr="00556E34" w:rsidRDefault="00DF0F2F" w:rsidP="00673E81">
            <w:pPr>
              <w:pStyle w:val="ThesisTableText"/>
            </w:pPr>
            <w:r>
              <w:t xml:space="preserve">5,295; resident adults from Auckland, Hutt City, </w:t>
            </w:r>
            <w:proofErr w:type="spellStart"/>
            <w:r>
              <w:t>Porirua</w:t>
            </w:r>
            <w:proofErr w:type="spellEnd"/>
            <w:r>
              <w:t>, Wellington, Christchurch &amp; Dunedin; Probability sample; Electoral roll</w:t>
            </w:r>
          </w:p>
        </w:tc>
        <w:tc>
          <w:tcPr>
            <w:tcW w:w="785" w:type="pct"/>
          </w:tcPr>
          <w:p w14:paraId="57770624" w14:textId="77777777" w:rsidR="00DF0F2F" w:rsidRPr="00556E34" w:rsidRDefault="00DF0F2F" w:rsidP="00673E81">
            <w:pPr>
              <w:pStyle w:val="ThesisTableText"/>
            </w:pPr>
            <w:r>
              <w:t>Online and hard-copy survey; Jun 2014-Jul 2014; conducted every 2 years</w:t>
            </w:r>
          </w:p>
        </w:tc>
        <w:tc>
          <w:tcPr>
            <w:tcW w:w="1026" w:type="pct"/>
          </w:tcPr>
          <w:p w14:paraId="0C336B6C" w14:textId="77777777" w:rsidR="00DF0F2F" w:rsidRDefault="00DF0F2F" w:rsidP="00673E81">
            <w:pPr>
              <w:pStyle w:val="ThesisTableText"/>
            </w:pPr>
            <w:r>
              <w:t>Quality of life</w:t>
            </w:r>
            <w:r w:rsidRPr="00652204">
              <w:rPr>
                <w:rFonts w:ascii="Times New Roman" w:hAnsi="Times New Roman"/>
                <w:vertAlign w:val="superscript"/>
              </w:rPr>
              <w:t>†</w:t>
            </w:r>
          </w:p>
          <w:p w14:paraId="2BACC7A2" w14:textId="77777777" w:rsidR="00DF0F2F" w:rsidRDefault="00DF0F2F" w:rsidP="00673E81">
            <w:pPr>
              <w:pStyle w:val="ThesisTableText"/>
            </w:pPr>
            <w:r>
              <w:t>Health and wellbeing</w:t>
            </w:r>
            <w:r w:rsidRPr="00652204">
              <w:rPr>
                <w:rFonts w:ascii="Times New Roman" w:hAnsi="Times New Roman"/>
                <w:vertAlign w:val="superscript"/>
              </w:rPr>
              <w:t>†</w:t>
            </w:r>
          </w:p>
          <w:p w14:paraId="1E734A93" w14:textId="77777777" w:rsidR="00DF0F2F" w:rsidRDefault="00DF0F2F" w:rsidP="00673E81">
            <w:pPr>
              <w:pStyle w:val="ThesisTableText"/>
            </w:pPr>
            <w:r>
              <w:t>Crime and safety</w:t>
            </w:r>
          </w:p>
          <w:p w14:paraId="4800B022" w14:textId="77777777" w:rsidR="00DF0F2F" w:rsidRDefault="00DF0F2F" w:rsidP="00673E81">
            <w:pPr>
              <w:pStyle w:val="ThesisTableText"/>
            </w:pPr>
            <w:r>
              <w:t>Community, culture and social networks</w:t>
            </w:r>
            <w:r w:rsidRPr="00652204">
              <w:rPr>
                <w:rFonts w:ascii="Times New Roman" w:hAnsi="Times New Roman"/>
                <w:vertAlign w:val="superscript"/>
              </w:rPr>
              <w:t>†</w:t>
            </w:r>
          </w:p>
          <w:p w14:paraId="5D71F42C" w14:textId="77777777" w:rsidR="00DF0F2F" w:rsidRDefault="00DF0F2F" w:rsidP="00673E81">
            <w:pPr>
              <w:pStyle w:val="ThesisTableText"/>
            </w:pPr>
            <w:r>
              <w:t>Council decision making processes</w:t>
            </w:r>
          </w:p>
          <w:p w14:paraId="77B1246E" w14:textId="77777777" w:rsidR="00DF0F2F" w:rsidRDefault="00DF0F2F" w:rsidP="00673E81">
            <w:pPr>
              <w:pStyle w:val="ThesisTableText"/>
            </w:pPr>
            <w:r>
              <w:t>Environment</w:t>
            </w:r>
          </w:p>
          <w:p w14:paraId="61CF981B" w14:textId="77777777" w:rsidR="00DF0F2F" w:rsidRDefault="00DF0F2F" w:rsidP="00673E81">
            <w:pPr>
              <w:pStyle w:val="ThesisTableText"/>
            </w:pPr>
            <w:r>
              <w:t>Public and private transport</w:t>
            </w:r>
          </w:p>
          <w:p w14:paraId="740B1F4B" w14:textId="77777777" w:rsidR="00DF0F2F" w:rsidRPr="00556E34" w:rsidRDefault="00DF0F2F" w:rsidP="00673E81">
            <w:pPr>
              <w:pStyle w:val="ThesisTableText"/>
            </w:pPr>
            <w:r>
              <w:t>Lifestyle – work and study</w:t>
            </w:r>
            <w:r w:rsidRPr="00652204">
              <w:rPr>
                <w:rFonts w:ascii="Times New Roman" w:hAnsi="Times New Roman"/>
                <w:vertAlign w:val="superscript"/>
              </w:rPr>
              <w:t>†</w:t>
            </w:r>
          </w:p>
        </w:tc>
        <w:tc>
          <w:tcPr>
            <w:tcW w:w="1594" w:type="pct"/>
          </w:tcPr>
          <w:p w14:paraId="69BC7821" w14:textId="77777777" w:rsidR="00DF0F2F" w:rsidRPr="009C653E" w:rsidRDefault="00DF0F2F" w:rsidP="00673E81">
            <w:pPr>
              <w:pStyle w:val="ThesisTableText"/>
              <w:numPr>
                <w:ilvl w:val="0"/>
                <w:numId w:val="14"/>
              </w:numPr>
              <w:rPr>
                <w:rFonts w:cs="Arial"/>
              </w:rPr>
            </w:pPr>
            <w:r w:rsidRPr="00FA34E1">
              <w:rPr>
                <w:rFonts w:cs="Arial"/>
                <w:i/>
                <w:vertAlign w:val="superscript"/>
              </w:rPr>
              <w:t>§</w:t>
            </w:r>
            <w:r>
              <w:rPr>
                <w:rFonts w:cs="Arial"/>
                <w:i/>
              </w:rPr>
              <w:t>Overall happiness</w:t>
            </w:r>
          </w:p>
          <w:p w14:paraId="7E597BCD" w14:textId="77777777" w:rsidR="00DF0F2F" w:rsidRPr="009C653E" w:rsidRDefault="00DF0F2F" w:rsidP="00673E81">
            <w:pPr>
              <w:pStyle w:val="ThesisTableText"/>
              <w:numPr>
                <w:ilvl w:val="0"/>
                <w:numId w:val="14"/>
              </w:numPr>
              <w:rPr>
                <w:rFonts w:cs="Arial"/>
              </w:rPr>
            </w:pPr>
            <w:r w:rsidRPr="00FA34E1">
              <w:rPr>
                <w:rFonts w:cs="Arial"/>
                <w:i/>
                <w:vertAlign w:val="superscript"/>
              </w:rPr>
              <w:t>§</w:t>
            </w:r>
            <w:r>
              <w:rPr>
                <w:rFonts w:cs="Arial"/>
                <w:i/>
              </w:rPr>
              <w:t>Life satisfaction</w:t>
            </w:r>
          </w:p>
          <w:p w14:paraId="49EF644E" w14:textId="77777777" w:rsidR="00DF0F2F" w:rsidRPr="009C653E" w:rsidRDefault="00DF0F2F" w:rsidP="00673E81">
            <w:pPr>
              <w:pStyle w:val="ThesisTableText"/>
              <w:numPr>
                <w:ilvl w:val="0"/>
                <w:numId w:val="14"/>
              </w:numPr>
              <w:rPr>
                <w:rFonts w:cs="Arial"/>
              </w:rPr>
            </w:pPr>
            <w:r w:rsidRPr="00FA34E1">
              <w:rPr>
                <w:rFonts w:cs="Arial"/>
                <w:i/>
                <w:vertAlign w:val="superscript"/>
              </w:rPr>
              <w:t>§</w:t>
            </w:r>
            <w:r>
              <w:rPr>
                <w:rFonts w:cs="Arial"/>
                <w:i/>
              </w:rPr>
              <w:t>Felt lonely?</w:t>
            </w:r>
          </w:p>
        </w:tc>
      </w:tr>
      <w:tr w:rsidR="00DF0F2F" w:rsidRPr="00041421" w14:paraId="2108AB9E" w14:textId="77777777" w:rsidTr="00673E81">
        <w:trPr>
          <w:cantSplit/>
          <w:trHeight w:val="20"/>
        </w:trPr>
        <w:tc>
          <w:tcPr>
            <w:tcW w:w="776" w:type="pct"/>
          </w:tcPr>
          <w:p w14:paraId="7B0FCF5D" w14:textId="77777777" w:rsidR="00DF0F2F" w:rsidRDefault="00DF0F2F" w:rsidP="00673E81">
            <w:pPr>
              <w:pStyle w:val="ThesisTableText"/>
            </w:pPr>
            <w:r>
              <w:t>Te Kupenga (Maori Wellbeing Survey) 2013</w:t>
            </w:r>
          </w:p>
          <w:p w14:paraId="3BBE6E86" w14:textId="77777777" w:rsidR="00DF0F2F" w:rsidRDefault="00DF0F2F" w:rsidP="00673E81">
            <w:pPr>
              <w:pStyle w:val="ThesisTableText"/>
              <w:rPr>
                <w:i/>
              </w:rPr>
            </w:pPr>
            <w:r>
              <w:rPr>
                <w:i/>
              </w:rPr>
              <w:t>Statistics New Zealand</w:t>
            </w:r>
          </w:p>
          <w:p w14:paraId="289324CA" w14:textId="13A2D1DD" w:rsidR="00DE472D" w:rsidRPr="00DE472D" w:rsidRDefault="00DE472D" w:rsidP="00673E81">
            <w:pPr>
              <w:pStyle w:val="ThesisTableText"/>
            </w:pPr>
            <w:r>
              <w:t>(Statistics New Zealand, 2013)</w:t>
            </w:r>
          </w:p>
        </w:tc>
        <w:tc>
          <w:tcPr>
            <w:tcW w:w="819" w:type="pct"/>
          </w:tcPr>
          <w:p w14:paraId="2FF7128E" w14:textId="77777777" w:rsidR="00DF0F2F" w:rsidRPr="00556E34" w:rsidRDefault="00DF0F2F" w:rsidP="00673E81">
            <w:pPr>
              <w:pStyle w:val="ThesisTableText"/>
            </w:pPr>
            <w:r>
              <w:t xml:space="preserve">5,549; NZ resident Maori adults; Probability sample; Entire NZ adult </w:t>
            </w:r>
            <w:r w:rsidRPr="00D6535D">
              <w:t xml:space="preserve">Māori </w:t>
            </w:r>
            <w:r>
              <w:t>population</w:t>
            </w:r>
          </w:p>
        </w:tc>
        <w:tc>
          <w:tcPr>
            <w:tcW w:w="785" w:type="pct"/>
          </w:tcPr>
          <w:p w14:paraId="348F9BC4" w14:textId="77777777" w:rsidR="00DF0F2F" w:rsidRPr="00556E34" w:rsidRDefault="00DF0F2F" w:rsidP="00673E81">
            <w:pPr>
              <w:pStyle w:val="ThesisTableText"/>
            </w:pPr>
            <w:r>
              <w:t>CAPI; Jun 2013-Aug 2013; one-off</w:t>
            </w:r>
          </w:p>
        </w:tc>
        <w:tc>
          <w:tcPr>
            <w:tcW w:w="1026" w:type="pct"/>
          </w:tcPr>
          <w:p w14:paraId="0457814D" w14:textId="77777777" w:rsidR="00DF0F2F" w:rsidRDefault="00DF0F2F" w:rsidP="00673E81">
            <w:pPr>
              <w:pStyle w:val="ThesisTableText"/>
            </w:pPr>
            <w:r>
              <w:t>Demographics</w:t>
            </w:r>
          </w:p>
          <w:p w14:paraId="2C082B4F" w14:textId="77777777" w:rsidR="00DF0F2F" w:rsidRDefault="00DF0F2F" w:rsidP="00673E81">
            <w:pPr>
              <w:pStyle w:val="ThesisTableText"/>
            </w:pPr>
            <w:r>
              <w:t>Views and perceptions</w:t>
            </w:r>
            <w:r w:rsidRPr="00652204">
              <w:rPr>
                <w:rFonts w:ascii="Times New Roman" w:hAnsi="Times New Roman"/>
                <w:vertAlign w:val="superscript"/>
              </w:rPr>
              <w:t>†</w:t>
            </w:r>
          </w:p>
          <w:p w14:paraId="5072425A" w14:textId="77777777" w:rsidR="00DF0F2F" w:rsidRDefault="00DF0F2F" w:rsidP="00673E81">
            <w:pPr>
              <w:pStyle w:val="ThesisTableText"/>
            </w:pPr>
            <w:r>
              <w:t>Paid work</w:t>
            </w:r>
          </w:p>
          <w:p w14:paraId="4A684991" w14:textId="77777777" w:rsidR="00DF0F2F" w:rsidRDefault="00DF0F2F" w:rsidP="00673E81">
            <w:pPr>
              <w:pStyle w:val="ThesisTableText"/>
            </w:pPr>
            <w:r>
              <w:t>Standard of living</w:t>
            </w:r>
          </w:p>
          <w:p w14:paraId="1DDB1579" w14:textId="77777777" w:rsidR="00DF0F2F" w:rsidRDefault="00DF0F2F" w:rsidP="00673E81">
            <w:pPr>
              <w:pStyle w:val="ThesisTableText"/>
            </w:pPr>
            <w:r>
              <w:t xml:space="preserve">Housing </w:t>
            </w:r>
          </w:p>
          <w:p w14:paraId="78D3759B" w14:textId="77777777" w:rsidR="00DF0F2F" w:rsidRDefault="00DF0F2F" w:rsidP="00673E81">
            <w:pPr>
              <w:pStyle w:val="ThesisTableText"/>
            </w:pPr>
            <w:r>
              <w:t>Health</w:t>
            </w:r>
          </w:p>
          <w:p w14:paraId="6353B36B" w14:textId="77777777" w:rsidR="00DF0F2F" w:rsidRDefault="00DF0F2F" w:rsidP="00673E81">
            <w:pPr>
              <w:pStyle w:val="ThesisTableText"/>
            </w:pPr>
            <w:r>
              <w:t>Crime, discrimination and trust</w:t>
            </w:r>
          </w:p>
          <w:p w14:paraId="1D16F04E" w14:textId="77777777" w:rsidR="00DF0F2F" w:rsidRDefault="00DF0F2F" w:rsidP="00673E81">
            <w:pPr>
              <w:pStyle w:val="ThesisTableText"/>
            </w:pPr>
            <w:r>
              <w:t>Civil participation</w:t>
            </w:r>
          </w:p>
          <w:p w14:paraId="140DB169" w14:textId="77777777" w:rsidR="00DF0F2F" w:rsidRDefault="00DF0F2F" w:rsidP="00673E81">
            <w:pPr>
              <w:pStyle w:val="ThesisTableText"/>
            </w:pPr>
            <w:r>
              <w:t>Whanau</w:t>
            </w:r>
            <w:r w:rsidRPr="00652204">
              <w:rPr>
                <w:rFonts w:ascii="Times New Roman" w:hAnsi="Times New Roman"/>
                <w:vertAlign w:val="superscript"/>
              </w:rPr>
              <w:t>†</w:t>
            </w:r>
          </w:p>
          <w:p w14:paraId="6C5BD126" w14:textId="77777777" w:rsidR="00DF0F2F" w:rsidRDefault="00DF0F2F" w:rsidP="00673E81">
            <w:pPr>
              <w:pStyle w:val="ThesisTableText"/>
            </w:pPr>
            <w:r>
              <w:t>Unpaid work</w:t>
            </w:r>
          </w:p>
          <w:p w14:paraId="19738E00" w14:textId="77777777" w:rsidR="00DF0F2F" w:rsidRDefault="00DF0F2F" w:rsidP="00673E81">
            <w:pPr>
              <w:pStyle w:val="ThesisTableText"/>
            </w:pPr>
            <w:r>
              <w:t>Tikanga T</w:t>
            </w:r>
            <w:r>
              <w:rPr>
                <w:rFonts w:cs="Arial"/>
              </w:rPr>
              <w:t>ū</w:t>
            </w:r>
            <w:r>
              <w:t>turu</w:t>
            </w:r>
          </w:p>
          <w:p w14:paraId="011B5EC2" w14:textId="77777777" w:rsidR="00DF0F2F" w:rsidRDefault="00DF0F2F" w:rsidP="00673E81">
            <w:pPr>
              <w:pStyle w:val="ThesisTableText"/>
            </w:pPr>
            <w:r>
              <w:t>Te Reo</w:t>
            </w:r>
          </w:p>
          <w:p w14:paraId="120EFA44" w14:textId="77777777" w:rsidR="00DF0F2F" w:rsidRPr="00556E34" w:rsidRDefault="00DF0F2F" w:rsidP="00673E81">
            <w:pPr>
              <w:pStyle w:val="ThesisTableText"/>
            </w:pPr>
            <w:r>
              <w:t>Tikanga Hou</w:t>
            </w:r>
          </w:p>
        </w:tc>
        <w:tc>
          <w:tcPr>
            <w:tcW w:w="1594" w:type="pct"/>
          </w:tcPr>
          <w:p w14:paraId="63A3C89C" w14:textId="77777777" w:rsidR="00DF0F2F" w:rsidRDefault="00DF0F2F" w:rsidP="00673E81">
            <w:pPr>
              <w:pStyle w:val="ThesisTableText"/>
              <w:numPr>
                <w:ilvl w:val="0"/>
                <w:numId w:val="16"/>
              </w:numPr>
              <w:rPr>
                <w:rFonts w:cs="Arial"/>
              </w:rPr>
            </w:pPr>
            <w:r>
              <w:rPr>
                <w:rFonts w:cs="Arial"/>
              </w:rPr>
              <w:t>Overall how satisfied are you with life as a whole these days? [0-10]</w:t>
            </w:r>
          </w:p>
          <w:p w14:paraId="1D540013" w14:textId="77777777" w:rsidR="00DF0F2F" w:rsidRPr="00413A88" w:rsidRDefault="00DF0F2F" w:rsidP="00673E81">
            <w:pPr>
              <w:pStyle w:val="ThesisTableText"/>
              <w:numPr>
                <w:ilvl w:val="0"/>
                <w:numId w:val="16"/>
              </w:numPr>
              <w:rPr>
                <w:rFonts w:cs="Arial"/>
              </w:rPr>
            </w:pPr>
            <w:r w:rsidRPr="00FA34E1">
              <w:rPr>
                <w:rFonts w:cs="Arial"/>
                <w:i/>
                <w:vertAlign w:val="superscript"/>
              </w:rPr>
              <w:t>§</w:t>
            </w:r>
            <w:r>
              <w:rPr>
                <w:rFonts w:cs="Arial"/>
                <w:i/>
              </w:rPr>
              <w:t>Job satisfaction</w:t>
            </w:r>
          </w:p>
          <w:p w14:paraId="3A938A35" w14:textId="77777777" w:rsidR="00DF0F2F" w:rsidRPr="00413A88" w:rsidRDefault="00DF0F2F" w:rsidP="00673E81">
            <w:pPr>
              <w:pStyle w:val="ThesisTableText"/>
              <w:numPr>
                <w:ilvl w:val="0"/>
                <w:numId w:val="16"/>
              </w:numPr>
              <w:rPr>
                <w:rFonts w:cs="Arial"/>
              </w:rPr>
            </w:pPr>
            <w:r w:rsidRPr="00FA34E1">
              <w:rPr>
                <w:rFonts w:cs="Arial"/>
                <w:i/>
                <w:vertAlign w:val="superscript"/>
              </w:rPr>
              <w:t>§</w:t>
            </w:r>
            <w:r>
              <w:rPr>
                <w:rFonts w:cs="Arial"/>
                <w:i/>
              </w:rPr>
              <w:t>Felt calm?</w:t>
            </w:r>
          </w:p>
          <w:p w14:paraId="4929DAA9" w14:textId="77777777" w:rsidR="00DF0F2F" w:rsidRPr="006903FD" w:rsidRDefault="00DF0F2F" w:rsidP="00673E81">
            <w:pPr>
              <w:pStyle w:val="ThesisTableText"/>
              <w:numPr>
                <w:ilvl w:val="0"/>
                <w:numId w:val="16"/>
              </w:numPr>
              <w:rPr>
                <w:rFonts w:cs="Arial"/>
              </w:rPr>
            </w:pPr>
            <w:r w:rsidRPr="00FA34E1">
              <w:rPr>
                <w:rFonts w:cs="Arial"/>
                <w:i/>
                <w:vertAlign w:val="superscript"/>
              </w:rPr>
              <w:t>§</w:t>
            </w:r>
            <w:r>
              <w:rPr>
                <w:rFonts w:cs="Arial"/>
                <w:i/>
              </w:rPr>
              <w:t>Had a lot of energy?</w:t>
            </w:r>
          </w:p>
          <w:p w14:paraId="65B66334" w14:textId="77777777" w:rsidR="00DF0F2F" w:rsidRDefault="00DF0F2F" w:rsidP="00673E81">
            <w:pPr>
              <w:pStyle w:val="ThesisTableText"/>
              <w:numPr>
                <w:ilvl w:val="0"/>
                <w:numId w:val="16"/>
              </w:numPr>
              <w:rPr>
                <w:rFonts w:cs="Arial"/>
              </w:rPr>
            </w:pPr>
            <w:r w:rsidRPr="00FA34E1">
              <w:rPr>
                <w:rFonts w:cs="Arial"/>
                <w:i/>
                <w:vertAlign w:val="superscript"/>
              </w:rPr>
              <w:t>§</w:t>
            </w:r>
            <w:r>
              <w:rPr>
                <w:rFonts w:cs="Arial"/>
                <w:i/>
              </w:rPr>
              <w:t>Felt depressed?</w:t>
            </w:r>
          </w:p>
        </w:tc>
      </w:tr>
      <w:tr w:rsidR="00DF0F2F" w:rsidRPr="00041421" w14:paraId="0EF041B8" w14:textId="77777777" w:rsidTr="00673E81">
        <w:trPr>
          <w:cantSplit/>
          <w:trHeight w:val="20"/>
        </w:trPr>
        <w:tc>
          <w:tcPr>
            <w:tcW w:w="776" w:type="pct"/>
          </w:tcPr>
          <w:p w14:paraId="64AC8B30" w14:textId="77777777" w:rsidR="00DF0F2F" w:rsidRDefault="00DF0F2F" w:rsidP="00673E81">
            <w:pPr>
              <w:pStyle w:val="ThesisTableText"/>
            </w:pPr>
            <w:r>
              <w:lastRenderedPageBreak/>
              <w:t>Sovereign Wellbeing Index 2014</w:t>
            </w:r>
          </w:p>
          <w:p w14:paraId="4A68622D" w14:textId="77777777" w:rsidR="00DF0F2F" w:rsidRDefault="00DF0F2F" w:rsidP="00673E81">
            <w:pPr>
              <w:pStyle w:val="ThesisTableText"/>
              <w:rPr>
                <w:i/>
              </w:rPr>
            </w:pPr>
            <w:r>
              <w:rPr>
                <w:i/>
              </w:rPr>
              <w:t>AUT University</w:t>
            </w:r>
          </w:p>
          <w:p w14:paraId="4A649285" w14:textId="7430CBAF" w:rsidR="008D088A" w:rsidRPr="008D088A" w:rsidRDefault="008D088A" w:rsidP="00673E81">
            <w:pPr>
              <w:pStyle w:val="ThesisTableText"/>
            </w:pPr>
            <w:r>
              <w:t>(Mackay, Prendergast, &amp; Jarden, 2015)</w:t>
            </w:r>
          </w:p>
        </w:tc>
        <w:tc>
          <w:tcPr>
            <w:tcW w:w="819" w:type="pct"/>
          </w:tcPr>
          <w:p w14:paraId="0F55C93E" w14:textId="77777777" w:rsidR="00DF0F2F" w:rsidRPr="00556E34" w:rsidRDefault="00DF0F2F" w:rsidP="00673E81">
            <w:pPr>
              <w:pStyle w:val="ThesisTableText"/>
            </w:pPr>
            <w:r>
              <w:t>10,012; NZ adults; Non-probability sample; Commercial research panel</w:t>
            </w:r>
          </w:p>
        </w:tc>
        <w:tc>
          <w:tcPr>
            <w:tcW w:w="785" w:type="pct"/>
          </w:tcPr>
          <w:p w14:paraId="69160997" w14:textId="77777777" w:rsidR="00DF0F2F" w:rsidRPr="004A091F" w:rsidRDefault="00DF0F2F" w:rsidP="00673E81">
            <w:pPr>
              <w:pStyle w:val="ThesisTableText"/>
            </w:pPr>
            <w:r>
              <w:t>Online survey; October 2014-November 2014;</w:t>
            </w:r>
            <w:r w:rsidRPr="004A091F">
              <w:rPr>
                <w:color w:val="FF0000"/>
              </w:rPr>
              <w:t xml:space="preserve"> </w:t>
            </w:r>
            <w:r>
              <w:t>conducted every 2 years</w:t>
            </w:r>
          </w:p>
        </w:tc>
        <w:tc>
          <w:tcPr>
            <w:tcW w:w="1026" w:type="pct"/>
          </w:tcPr>
          <w:p w14:paraId="0D7ADD4B" w14:textId="77777777" w:rsidR="00DF0F2F" w:rsidRDefault="00DF0F2F" w:rsidP="00673E81">
            <w:pPr>
              <w:pStyle w:val="ThesisTableText"/>
            </w:pPr>
            <w:r>
              <w:t>Evaluations and emotions</w:t>
            </w:r>
            <w:r w:rsidRPr="00652204">
              <w:rPr>
                <w:rFonts w:ascii="Times New Roman" w:hAnsi="Times New Roman"/>
                <w:vertAlign w:val="superscript"/>
              </w:rPr>
              <w:t>†</w:t>
            </w:r>
          </w:p>
          <w:p w14:paraId="3D884E41" w14:textId="77777777" w:rsidR="00DF0F2F" w:rsidRDefault="00DF0F2F" w:rsidP="00673E81">
            <w:pPr>
              <w:pStyle w:val="ThesisTableText"/>
            </w:pPr>
            <w:r>
              <w:t>Functioning</w:t>
            </w:r>
            <w:r w:rsidRPr="00652204">
              <w:rPr>
                <w:rFonts w:ascii="Times New Roman" w:hAnsi="Times New Roman"/>
                <w:vertAlign w:val="superscript"/>
              </w:rPr>
              <w:t>†</w:t>
            </w:r>
          </w:p>
          <w:p w14:paraId="312EDC72" w14:textId="77777777" w:rsidR="00DF0F2F" w:rsidRDefault="00DF0F2F" w:rsidP="00673E81">
            <w:pPr>
              <w:pStyle w:val="ThesisTableText"/>
            </w:pPr>
            <w:r>
              <w:t>Psychological resources</w:t>
            </w:r>
            <w:r w:rsidRPr="00652204">
              <w:rPr>
                <w:rFonts w:ascii="Times New Roman" w:hAnsi="Times New Roman"/>
                <w:vertAlign w:val="superscript"/>
              </w:rPr>
              <w:t>†</w:t>
            </w:r>
          </w:p>
          <w:p w14:paraId="6DCBCA2B" w14:textId="77777777" w:rsidR="00DF0F2F" w:rsidRDefault="00DF0F2F" w:rsidP="00673E81">
            <w:pPr>
              <w:pStyle w:val="ThesisTableText"/>
            </w:pPr>
            <w:r>
              <w:t>Individual demographics</w:t>
            </w:r>
          </w:p>
          <w:p w14:paraId="3E17BBC6" w14:textId="77777777" w:rsidR="00DF0F2F" w:rsidRDefault="00DF0F2F" w:rsidP="00673E81">
            <w:pPr>
              <w:pStyle w:val="ThesisTableText"/>
            </w:pPr>
            <w:r>
              <w:t xml:space="preserve">Household and family demographics </w:t>
            </w:r>
          </w:p>
          <w:p w14:paraId="2F8B60FD" w14:textId="77777777" w:rsidR="00DF0F2F" w:rsidRDefault="00DF0F2F" w:rsidP="00673E81">
            <w:pPr>
              <w:pStyle w:val="ThesisTableText"/>
            </w:pPr>
            <w:r>
              <w:t>Socio-economic</w:t>
            </w:r>
          </w:p>
          <w:p w14:paraId="11149D62" w14:textId="77777777" w:rsidR="00DF0F2F" w:rsidRDefault="00DF0F2F" w:rsidP="00673E81">
            <w:pPr>
              <w:pStyle w:val="ThesisTableText"/>
            </w:pPr>
            <w:r>
              <w:t>Employment</w:t>
            </w:r>
          </w:p>
          <w:p w14:paraId="5EE6796A" w14:textId="77777777" w:rsidR="00DF0F2F" w:rsidRDefault="00DF0F2F" w:rsidP="00673E81">
            <w:pPr>
              <w:pStyle w:val="ThesisTableText"/>
            </w:pPr>
            <w:r>
              <w:t>Region/city size</w:t>
            </w:r>
          </w:p>
          <w:p w14:paraId="4ACCB5EB" w14:textId="77777777" w:rsidR="00DF0F2F" w:rsidRDefault="00DF0F2F" w:rsidP="00673E81">
            <w:pPr>
              <w:pStyle w:val="ThesisTableText"/>
            </w:pPr>
            <w:r>
              <w:t>Health</w:t>
            </w:r>
          </w:p>
          <w:p w14:paraId="2A6BCD1E" w14:textId="77777777" w:rsidR="00DF0F2F" w:rsidRDefault="00DF0F2F" w:rsidP="00673E81">
            <w:pPr>
              <w:pStyle w:val="ThesisTableText"/>
            </w:pPr>
            <w:r>
              <w:t>Body size</w:t>
            </w:r>
          </w:p>
          <w:p w14:paraId="04A8BC16" w14:textId="77777777" w:rsidR="00DF0F2F" w:rsidRDefault="00DF0F2F" w:rsidP="00673E81">
            <w:pPr>
              <w:pStyle w:val="ThesisTableText"/>
            </w:pPr>
            <w:r>
              <w:t>Alcohol and smoking</w:t>
            </w:r>
          </w:p>
          <w:p w14:paraId="584456B5" w14:textId="77777777" w:rsidR="00DF0F2F" w:rsidRDefault="00DF0F2F" w:rsidP="00673E81">
            <w:pPr>
              <w:pStyle w:val="ThesisTableText"/>
            </w:pPr>
            <w:r>
              <w:t>Sleep</w:t>
            </w:r>
          </w:p>
          <w:p w14:paraId="50BF38DE" w14:textId="77777777" w:rsidR="00DF0F2F" w:rsidRDefault="00DF0F2F" w:rsidP="00673E81">
            <w:pPr>
              <w:pStyle w:val="ThesisTableText"/>
            </w:pPr>
            <w:r>
              <w:t>Nutrition behaviour</w:t>
            </w:r>
          </w:p>
          <w:p w14:paraId="52F571B1" w14:textId="77777777" w:rsidR="00DF0F2F" w:rsidRDefault="00DF0F2F" w:rsidP="00673E81">
            <w:pPr>
              <w:pStyle w:val="ThesisTableText"/>
            </w:pPr>
            <w:r>
              <w:t>Physical activity</w:t>
            </w:r>
          </w:p>
          <w:p w14:paraId="2D17735C" w14:textId="77777777" w:rsidR="00DF0F2F" w:rsidRPr="00556E34" w:rsidRDefault="00DF0F2F" w:rsidP="00673E81">
            <w:pPr>
              <w:pStyle w:val="ThesisTableText"/>
            </w:pPr>
          </w:p>
        </w:tc>
        <w:tc>
          <w:tcPr>
            <w:tcW w:w="1594" w:type="pct"/>
          </w:tcPr>
          <w:p w14:paraId="77B16503" w14:textId="77777777" w:rsidR="00DF0F2F" w:rsidRDefault="00DF0F2F" w:rsidP="00673E81">
            <w:pPr>
              <w:pStyle w:val="ThesisTableText"/>
              <w:numPr>
                <w:ilvl w:val="0"/>
                <w:numId w:val="18"/>
              </w:numPr>
              <w:rPr>
                <w:rFonts w:cs="Arial"/>
              </w:rPr>
            </w:pPr>
            <w:r>
              <w:rPr>
                <w:rFonts w:cs="Arial"/>
              </w:rPr>
              <w:t>Overall, how satisfied are you with life as a whole these days? [0-10]</w:t>
            </w:r>
          </w:p>
          <w:p w14:paraId="6B7D2710" w14:textId="77777777" w:rsidR="00DF0F2F" w:rsidRDefault="00DF0F2F" w:rsidP="00673E81">
            <w:pPr>
              <w:pStyle w:val="ThesisTableText"/>
              <w:numPr>
                <w:ilvl w:val="0"/>
                <w:numId w:val="18"/>
              </w:numPr>
              <w:rPr>
                <w:rFonts w:cs="Arial"/>
              </w:rPr>
            </w:pPr>
            <w:r>
              <w:rPr>
                <w:rFonts w:cs="Arial"/>
              </w:rPr>
              <w:t>Taking all things together, how happy would you say you are? [0-10]</w:t>
            </w:r>
          </w:p>
          <w:p w14:paraId="3B507E22" w14:textId="77777777" w:rsidR="00DF0F2F" w:rsidRDefault="00DF0F2F" w:rsidP="00673E81">
            <w:pPr>
              <w:pStyle w:val="ThesisTableText"/>
              <w:numPr>
                <w:ilvl w:val="0"/>
                <w:numId w:val="18"/>
              </w:numPr>
              <w:rPr>
                <w:rFonts w:cs="Arial"/>
              </w:rPr>
            </w:pPr>
            <w:r>
              <w:rPr>
                <w:rFonts w:cs="Arial"/>
              </w:rPr>
              <w:t>How satisfied are you with your personal relationships? [0-10]</w:t>
            </w:r>
          </w:p>
          <w:p w14:paraId="1A03B8CB" w14:textId="77777777" w:rsidR="00DF0F2F" w:rsidRDefault="00DF0F2F" w:rsidP="00673E81">
            <w:pPr>
              <w:pStyle w:val="ThesisTableText"/>
              <w:numPr>
                <w:ilvl w:val="0"/>
                <w:numId w:val="18"/>
              </w:numPr>
              <w:rPr>
                <w:rFonts w:cs="Arial"/>
              </w:rPr>
            </w:pPr>
            <w:r>
              <w:rPr>
                <w:rFonts w:cs="Arial"/>
              </w:rPr>
              <w:t>How satisfied are you with feeling part of your community? [0-10]</w:t>
            </w:r>
          </w:p>
          <w:p w14:paraId="1BD50071" w14:textId="77777777" w:rsidR="00DF0F2F" w:rsidRDefault="00DF0F2F" w:rsidP="00673E81">
            <w:pPr>
              <w:pStyle w:val="ThesisTableText"/>
              <w:numPr>
                <w:ilvl w:val="0"/>
                <w:numId w:val="18"/>
              </w:numPr>
              <w:rPr>
                <w:rFonts w:cs="Arial"/>
              </w:rPr>
            </w:pPr>
            <w:r>
              <w:rPr>
                <w:rFonts w:cs="Arial"/>
              </w:rPr>
              <w:t>How satisfied are you with the amount of time you have to do the things you like doing? [0-10]</w:t>
            </w:r>
          </w:p>
          <w:p w14:paraId="557EA779" w14:textId="77777777" w:rsidR="00DF0F2F" w:rsidRPr="00106273" w:rsidRDefault="00DF0F2F" w:rsidP="00673E81">
            <w:pPr>
              <w:pStyle w:val="ThesisTableText"/>
              <w:numPr>
                <w:ilvl w:val="0"/>
                <w:numId w:val="18"/>
              </w:numPr>
              <w:rPr>
                <w:rFonts w:cs="Arial"/>
              </w:rPr>
            </w:pPr>
            <w:r w:rsidRPr="00FA34E1">
              <w:rPr>
                <w:rFonts w:cs="Arial"/>
                <w:i/>
                <w:vertAlign w:val="superscript"/>
              </w:rPr>
              <w:t>§</w:t>
            </w:r>
            <w:r>
              <w:rPr>
                <w:rFonts w:cs="Arial"/>
                <w:i/>
              </w:rPr>
              <w:t>Positive self-perception</w:t>
            </w:r>
          </w:p>
          <w:p w14:paraId="76EB9E2D" w14:textId="77777777" w:rsidR="00DF0F2F" w:rsidRPr="00106273" w:rsidRDefault="00DF0F2F" w:rsidP="00673E81">
            <w:pPr>
              <w:pStyle w:val="ThesisTableText"/>
              <w:numPr>
                <w:ilvl w:val="0"/>
                <w:numId w:val="18"/>
              </w:numPr>
              <w:rPr>
                <w:rFonts w:cs="Arial"/>
              </w:rPr>
            </w:pPr>
            <w:r w:rsidRPr="00FA34E1">
              <w:rPr>
                <w:rFonts w:cs="Arial"/>
                <w:i/>
                <w:vertAlign w:val="superscript"/>
              </w:rPr>
              <w:t>§</w:t>
            </w:r>
            <w:r>
              <w:rPr>
                <w:rFonts w:cs="Arial"/>
                <w:i/>
              </w:rPr>
              <w:t>Future optimism</w:t>
            </w:r>
          </w:p>
          <w:p w14:paraId="482020A7" w14:textId="77777777" w:rsidR="00DF0F2F" w:rsidRPr="00106273" w:rsidRDefault="00DF0F2F" w:rsidP="00673E81">
            <w:pPr>
              <w:pStyle w:val="ThesisTableText"/>
              <w:numPr>
                <w:ilvl w:val="0"/>
                <w:numId w:val="18"/>
              </w:numPr>
              <w:rPr>
                <w:rFonts w:cs="Arial"/>
              </w:rPr>
            </w:pPr>
            <w:r w:rsidRPr="00FA34E1">
              <w:rPr>
                <w:rFonts w:cs="Arial"/>
                <w:i/>
                <w:vertAlign w:val="superscript"/>
              </w:rPr>
              <w:t>§</w:t>
            </w:r>
            <w:r>
              <w:rPr>
                <w:rFonts w:cs="Arial"/>
                <w:i/>
              </w:rPr>
              <w:t>Felt depressed?</w:t>
            </w:r>
          </w:p>
          <w:p w14:paraId="13918DB3" w14:textId="77777777" w:rsidR="00DF0F2F" w:rsidRPr="00106273" w:rsidRDefault="00DF0F2F" w:rsidP="00673E81">
            <w:pPr>
              <w:pStyle w:val="ThesisTableText"/>
              <w:numPr>
                <w:ilvl w:val="0"/>
                <w:numId w:val="18"/>
              </w:numPr>
              <w:rPr>
                <w:rFonts w:cs="Arial"/>
              </w:rPr>
            </w:pPr>
            <w:r w:rsidRPr="00FA34E1">
              <w:rPr>
                <w:rFonts w:cs="Arial"/>
                <w:i/>
                <w:vertAlign w:val="superscript"/>
              </w:rPr>
              <w:t>§</w:t>
            </w:r>
            <w:r>
              <w:rPr>
                <w:rFonts w:cs="Arial"/>
                <w:i/>
              </w:rPr>
              <w:t>Enjoyed life?</w:t>
            </w:r>
          </w:p>
          <w:p w14:paraId="51F5B623" w14:textId="77777777" w:rsidR="00DF0F2F" w:rsidRPr="00106273" w:rsidRDefault="00DF0F2F" w:rsidP="00673E81">
            <w:pPr>
              <w:pStyle w:val="ThesisTableText"/>
              <w:numPr>
                <w:ilvl w:val="0"/>
                <w:numId w:val="18"/>
              </w:numPr>
              <w:rPr>
                <w:rFonts w:cs="Arial"/>
              </w:rPr>
            </w:pPr>
            <w:r w:rsidRPr="00FA34E1">
              <w:rPr>
                <w:rFonts w:cs="Arial"/>
                <w:i/>
                <w:vertAlign w:val="superscript"/>
              </w:rPr>
              <w:t>§</w:t>
            </w:r>
            <w:r>
              <w:rPr>
                <w:rFonts w:cs="Arial"/>
                <w:i/>
              </w:rPr>
              <w:t>Calm?</w:t>
            </w:r>
          </w:p>
          <w:p w14:paraId="5A5939B3" w14:textId="77777777" w:rsidR="00DF0F2F" w:rsidRPr="00106273" w:rsidRDefault="00DF0F2F" w:rsidP="00673E81">
            <w:pPr>
              <w:pStyle w:val="ThesisTableText"/>
              <w:numPr>
                <w:ilvl w:val="0"/>
                <w:numId w:val="18"/>
              </w:numPr>
              <w:rPr>
                <w:rFonts w:cs="Arial"/>
              </w:rPr>
            </w:pPr>
            <w:r w:rsidRPr="00FA34E1">
              <w:rPr>
                <w:rFonts w:cs="Arial"/>
                <w:i/>
                <w:vertAlign w:val="superscript"/>
              </w:rPr>
              <w:t>§</w:t>
            </w:r>
            <w:r>
              <w:rPr>
                <w:rFonts w:cs="Arial"/>
                <w:i/>
              </w:rPr>
              <w:t>Sad?</w:t>
            </w:r>
          </w:p>
          <w:p w14:paraId="2C0771D4" w14:textId="77777777" w:rsidR="00DF0F2F" w:rsidRPr="00106273" w:rsidRDefault="00DF0F2F" w:rsidP="00673E81">
            <w:pPr>
              <w:pStyle w:val="ThesisTableText"/>
              <w:numPr>
                <w:ilvl w:val="0"/>
                <w:numId w:val="18"/>
              </w:numPr>
              <w:rPr>
                <w:rFonts w:cs="Arial"/>
              </w:rPr>
            </w:pPr>
            <w:r w:rsidRPr="00FA34E1">
              <w:rPr>
                <w:rFonts w:cs="Arial"/>
                <w:i/>
                <w:vertAlign w:val="superscript"/>
              </w:rPr>
              <w:t>§</w:t>
            </w:r>
            <w:r>
              <w:rPr>
                <w:rFonts w:cs="Arial"/>
                <w:i/>
              </w:rPr>
              <w:t>Happy?</w:t>
            </w:r>
          </w:p>
          <w:p w14:paraId="34A697C6" w14:textId="77777777" w:rsidR="00DF0F2F" w:rsidRPr="00106273" w:rsidRDefault="00DF0F2F" w:rsidP="00673E81">
            <w:pPr>
              <w:pStyle w:val="ThesisTableText"/>
              <w:numPr>
                <w:ilvl w:val="0"/>
                <w:numId w:val="18"/>
              </w:numPr>
              <w:rPr>
                <w:rFonts w:cs="Arial"/>
              </w:rPr>
            </w:pPr>
            <w:r w:rsidRPr="00FA34E1">
              <w:rPr>
                <w:rFonts w:cs="Arial"/>
                <w:i/>
                <w:vertAlign w:val="superscript"/>
              </w:rPr>
              <w:t>§</w:t>
            </w:r>
            <w:r>
              <w:rPr>
                <w:rFonts w:cs="Arial"/>
                <w:i/>
              </w:rPr>
              <w:t>Worried?</w:t>
            </w:r>
          </w:p>
          <w:p w14:paraId="761964E3" w14:textId="77777777" w:rsidR="00DF0F2F" w:rsidRPr="00106273" w:rsidRDefault="00DF0F2F" w:rsidP="00673E81">
            <w:pPr>
              <w:pStyle w:val="ThesisTableText"/>
              <w:numPr>
                <w:ilvl w:val="0"/>
                <w:numId w:val="18"/>
              </w:numPr>
              <w:rPr>
                <w:rFonts w:cs="Arial"/>
              </w:rPr>
            </w:pPr>
            <w:r w:rsidRPr="00FA34E1">
              <w:rPr>
                <w:rFonts w:cs="Arial"/>
                <w:i/>
                <w:vertAlign w:val="superscript"/>
              </w:rPr>
              <w:t>§</w:t>
            </w:r>
            <w:r>
              <w:rPr>
                <w:rFonts w:cs="Arial"/>
                <w:i/>
              </w:rPr>
              <w:t>Free to decide how I live my life</w:t>
            </w:r>
          </w:p>
          <w:p w14:paraId="47405020" w14:textId="77777777" w:rsidR="00DF0F2F" w:rsidRPr="00106273" w:rsidRDefault="00DF0F2F" w:rsidP="00673E81">
            <w:pPr>
              <w:pStyle w:val="ThesisTableText"/>
              <w:numPr>
                <w:ilvl w:val="0"/>
                <w:numId w:val="18"/>
              </w:numPr>
              <w:rPr>
                <w:rFonts w:cs="Arial"/>
              </w:rPr>
            </w:pPr>
            <w:r w:rsidRPr="00FA34E1">
              <w:rPr>
                <w:rFonts w:cs="Arial"/>
                <w:i/>
                <w:vertAlign w:val="superscript"/>
              </w:rPr>
              <w:t>§</w:t>
            </w:r>
            <w:r>
              <w:rPr>
                <w:rFonts w:cs="Arial"/>
                <w:i/>
              </w:rPr>
              <w:t>Sense of accomplishment</w:t>
            </w:r>
          </w:p>
          <w:p w14:paraId="094EB89D" w14:textId="77777777" w:rsidR="00DF0F2F" w:rsidRPr="00106273" w:rsidRDefault="00DF0F2F" w:rsidP="00673E81">
            <w:pPr>
              <w:pStyle w:val="ThesisTableText"/>
              <w:numPr>
                <w:ilvl w:val="0"/>
                <w:numId w:val="18"/>
              </w:numPr>
              <w:rPr>
                <w:rFonts w:cs="Arial"/>
              </w:rPr>
            </w:pPr>
            <w:r w:rsidRPr="00FA34E1">
              <w:rPr>
                <w:rFonts w:cs="Arial"/>
                <w:i/>
                <w:vertAlign w:val="superscript"/>
              </w:rPr>
              <w:t>§</w:t>
            </w:r>
            <w:r>
              <w:rPr>
                <w:rFonts w:cs="Arial"/>
                <w:i/>
              </w:rPr>
              <w:t>Resilience</w:t>
            </w:r>
          </w:p>
          <w:p w14:paraId="2C0D2279" w14:textId="77777777" w:rsidR="00DF0F2F" w:rsidRDefault="00DF0F2F" w:rsidP="00673E81">
            <w:pPr>
              <w:pStyle w:val="ThesisTableText"/>
              <w:numPr>
                <w:ilvl w:val="0"/>
                <w:numId w:val="18"/>
              </w:numPr>
              <w:rPr>
                <w:rFonts w:cs="Arial"/>
              </w:rPr>
            </w:pPr>
            <w:r w:rsidRPr="00FA34E1">
              <w:rPr>
                <w:rFonts w:cs="Arial"/>
                <w:i/>
                <w:vertAlign w:val="superscript"/>
              </w:rPr>
              <w:t>§</w:t>
            </w:r>
            <w:r>
              <w:rPr>
                <w:rFonts w:cs="Arial"/>
                <w:i/>
              </w:rPr>
              <w:t>Worthwhile life</w:t>
            </w:r>
          </w:p>
        </w:tc>
      </w:tr>
      <w:tr w:rsidR="00DF0F2F" w:rsidRPr="00041421" w14:paraId="436A2558" w14:textId="77777777" w:rsidTr="00673E81">
        <w:trPr>
          <w:cantSplit/>
          <w:trHeight w:val="20"/>
        </w:trPr>
        <w:tc>
          <w:tcPr>
            <w:tcW w:w="776" w:type="pct"/>
          </w:tcPr>
          <w:p w14:paraId="3215E771" w14:textId="77777777" w:rsidR="00DF0F2F" w:rsidRDefault="00DF0F2F" w:rsidP="00673E81">
            <w:pPr>
              <w:pStyle w:val="ThesisTableText"/>
            </w:pPr>
            <w:r>
              <w:lastRenderedPageBreak/>
              <w:t>World Values Study (NZ) 2011</w:t>
            </w:r>
          </w:p>
          <w:p w14:paraId="6F8B3FDE" w14:textId="77777777" w:rsidR="00DF0F2F" w:rsidRPr="003312C1" w:rsidRDefault="00DF0F2F" w:rsidP="00673E81">
            <w:pPr>
              <w:pStyle w:val="ThesisTableText"/>
              <w:rPr>
                <w:rFonts w:cs="Arial"/>
                <w:i/>
                <w:lang w:val="en"/>
              </w:rPr>
            </w:pPr>
            <w:r w:rsidRPr="00F4745F">
              <w:rPr>
                <w:rFonts w:cs="Arial"/>
                <w:i/>
                <w:lang w:val="en"/>
              </w:rPr>
              <w:t>World Values Survey Association</w:t>
            </w:r>
          </w:p>
          <w:p w14:paraId="0D5CAB5A" w14:textId="4C1E2B72" w:rsidR="003450CC" w:rsidRPr="003450CC" w:rsidRDefault="003450CC" w:rsidP="00673E81">
            <w:pPr>
              <w:pStyle w:val="ThesisTableText"/>
            </w:pPr>
            <w:r w:rsidRPr="003312C1">
              <w:rPr>
                <w:rFonts w:cs="Arial"/>
                <w:lang w:val="en"/>
              </w:rPr>
              <w:t>(World Values Survey, 2011)</w:t>
            </w:r>
          </w:p>
        </w:tc>
        <w:tc>
          <w:tcPr>
            <w:tcW w:w="819" w:type="pct"/>
          </w:tcPr>
          <w:p w14:paraId="3726523E" w14:textId="77777777" w:rsidR="00DF0F2F" w:rsidRDefault="00DF0F2F" w:rsidP="00673E81">
            <w:pPr>
              <w:pStyle w:val="ThesisTableText"/>
            </w:pPr>
            <w:r>
              <w:t>841; NZ adults; Probability sample; Electoral roll</w:t>
            </w:r>
          </w:p>
        </w:tc>
        <w:tc>
          <w:tcPr>
            <w:tcW w:w="785" w:type="pct"/>
          </w:tcPr>
          <w:p w14:paraId="542DF75A" w14:textId="77777777" w:rsidR="00DF0F2F" w:rsidRDefault="00DF0F2F" w:rsidP="00673E81">
            <w:pPr>
              <w:pStyle w:val="ThesisTableText"/>
            </w:pPr>
            <w:r>
              <w:t>Postal survey; Aug 2011-Feb 2012; conducted every 5-6 years</w:t>
            </w:r>
          </w:p>
        </w:tc>
        <w:tc>
          <w:tcPr>
            <w:tcW w:w="1026" w:type="pct"/>
          </w:tcPr>
          <w:p w14:paraId="027727F1" w14:textId="77777777" w:rsidR="00DF0F2F" w:rsidRDefault="00DF0F2F" w:rsidP="00673E81">
            <w:pPr>
              <w:pStyle w:val="ThesisTableText"/>
            </w:pPr>
            <w:r>
              <w:t>Community</w:t>
            </w:r>
            <w:r w:rsidRPr="00652204">
              <w:rPr>
                <w:rFonts w:ascii="Times New Roman" w:hAnsi="Times New Roman"/>
                <w:vertAlign w:val="superscript"/>
              </w:rPr>
              <w:t>†</w:t>
            </w:r>
          </w:p>
          <w:p w14:paraId="3043FFC6" w14:textId="77777777" w:rsidR="00DF0F2F" w:rsidRDefault="00DF0F2F" w:rsidP="00673E81">
            <w:pPr>
              <w:pStyle w:val="ThesisTableText"/>
            </w:pPr>
            <w:r>
              <w:t>Environment</w:t>
            </w:r>
          </w:p>
          <w:p w14:paraId="3BB823C0" w14:textId="77777777" w:rsidR="00DF0F2F" w:rsidRDefault="00DF0F2F" w:rsidP="00673E81">
            <w:pPr>
              <w:pStyle w:val="ThesisTableText"/>
            </w:pPr>
            <w:r>
              <w:t>People and work</w:t>
            </w:r>
            <w:r w:rsidRPr="00652204">
              <w:rPr>
                <w:rFonts w:ascii="Times New Roman" w:hAnsi="Times New Roman"/>
                <w:vertAlign w:val="superscript"/>
              </w:rPr>
              <w:t>†</w:t>
            </w:r>
          </w:p>
          <w:p w14:paraId="22405EE8" w14:textId="77777777" w:rsidR="00DF0F2F" w:rsidRDefault="00DF0F2F" w:rsidP="00673E81">
            <w:pPr>
              <w:pStyle w:val="ThesisTableText"/>
            </w:pPr>
            <w:r>
              <w:t>Families</w:t>
            </w:r>
            <w:r w:rsidRPr="00652204">
              <w:rPr>
                <w:rFonts w:ascii="Times New Roman" w:hAnsi="Times New Roman"/>
                <w:vertAlign w:val="superscript"/>
              </w:rPr>
              <w:t>†</w:t>
            </w:r>
          </w:p>
          <w:p w14:paraId="1A85C22D" w14:textId="77777777" w:rsidR="00DF0F2F" w:rsidRDefault="00DF0F2F" w:rsidP="00673E81">
            <w:pPr>
              <w:pStyle w:val="ThesisTableText"/>
            </w:pPr>
            <w:r>
              <w:t>People, society and politics</w:t>
            </w:r>
          </w:p>
          <w:p w14:paraId="1876EE4C" w14:textId="77777777" w:rsidR="00DF0F2F" w:rsidRDefault="00DF0F2F" w:rsidP="00673E81">
            <w:pPr>
              <w:pStyle w:val="ThesisTableText"/>
            </w:pPr>
            <w:r>
              <w:t xml:space="preserve">Religion and morality </w:t>
            </w:r>
          </w:p>
          <w:p w14:paraId="25A0AB0F" w14:textId="77777777" w:rsidR="00DF0F2F" w:rsidRDefault="00DF0F2F" w:rsidP="00673E81">
            <w:pPr>
              <w:pStyle w:val="ThesisTableText"/>
            </w:pPr>
            <w:r>
              <w:t>People of different ages</w:t>
            </w:r>
          </w:p>
          <w:p w14:paraId="1FCF22F0" w14:textId="77777777" w:rsidR="00DF0F2F" w:rsidRDefault="00DF0F2F" w:rsidP="00673E81">
            <w:pPr>
              <w:pStyle w:val="ThesisTableText"/>
            </w:pPr>
            <w:r>
              <w:t>National identity</w:t>
            </w:r>
          </w:p>
          <w:p w14:paraId="687C0569" w14:textId="77777777" w:rsidR="00DF0F2F" w:rsidRDefault="00DF0F2F" w:rsidP="00673E81">
            <w:pPr>
              <w:pStyle w:val="ThesisTableText"/>
            </w:pPr>
            <w:r>
              <w:t>Demographics</w:t>
            </w:r>
          </w:p>
        </w:tc>
        <w:tc>
          <w:tcPr>
            <w:tcW w:w="1594" w:type="pct"/>
          </w:tcPr>
          <w:p w14:paraId="78E87E22" w14:textId="77777777" w:rsidR="00DF0F2F" w:rsidRDefault="00DF0F2F" w:rsidP="00673E81">
            <w:pPr>
              <w:pStyle w:val="ThesisTableText"/>
              <w:numPr>
                <w:ilvl w:val="0"/>
                <w:numId w:val="17"/>
              </w:numPr>
              <w:rPr>
                <w:rFonts w:cs="Arial"/>
              </w:rPr>
            </w:pPr>
            <w:r>
              <w:rPr>
                <w:rFonts w:cs="Arial"/>
              </w:rPr>
              <w:t>Overall how satisfied are you with life as a whole these days? [0-10]</w:t>
            </w:r>
          </w:p>
          <w:p w14:paraId="0A3BDB43" w14:textId="77777777" w:rsidR="00DF0F2F" w:rsidRDefault="00DF0F2F" w:rsidP="00673E81">
            <w:pPr>
              <w:pStyle w:val="ThesisTableText"/>
              <w:numPr>
                <w:ilvl w:val="0"/>
                <w:numId w:val="17"/>
              </w:numPr>
              <w:rPr>
                <w:rFonts w:cs="Arial"/>
              </w:rPr>
            </w:pPr>
            <w:r>
              <w:rPr>
                <w:rFonts w:cs="Arial"/>
              </w:rPr>
              <w:t>I am free to decide for myself how to live my life [0-10]</w:t>
            </w:r>
          </w:p>
          <w:p w14:paraId="35574506" w14:textId="77777777" w:rsidR="00DF0F2F" w:rsidRPr="006903FD" w:rsidRDefault="00DF0F2F" w:rsidP="00673E81">
            <w:pPr>
              <w:pStyle w:val="ThesisTableText"/>
              <w:numPr>
                <w:ilvl w:val="0"/>
                <w:numId w:val="17"/>
              </w:numPr>
              <w:rPr>
                <w:rFonts w:cs="Arial"/>
              </w:rPr>
            </w:pPr>
            <w:r w:rsidRPr="00FA34E1">
              <w:rPr>
                <w:rFonts w:cs="Arial"/>
                <w:i/>
                <w:vertAlign w:val="superscript"/>
              </w:rPr>
              <w:t>§</w:t>
            </w:r>
            <w:r>
              <w:rPr>
                <w:rFonts w:cs="Arial"/>
                <w:i/>
              </w:rPr>
              <w:t>Overall happiness</w:t>
            </w:r>
          </w:p>
          <w:p w14:paraId="6FFFCD0B" w14:textId="77777777" w:rsidR="00DF0F2F" w:rsidRDefault="00DF0F2F" w:rsidP="00673E81">
            <w:pPr>
              <w:pStyle w:val="ThesisTableText"/>
              <w:ind w:left="360"/>
              <w:rPr>
                <w:rFonts w:cs="Arial"/>
              </w:rPr>
            </w:pPr>
          </w:p>
        </w:tc>
      </w:tr>
      <w:tr w:rsidR="00DF0F2F" w:rsidRPr="00041421" w14:paraId="4628720C" w14:textId="77777777" w:rsidTr="00673E81">
        <w:trPr>
          <w:cantSplit/>
          <w:trHeight w:val="20"/>
        </w:trPr>
        <w:tc>
          <w:tcPr>
            <w:tcW w:w="776" w:type="pct"/>
          </w:tcPr>
          <w:p w14:paraId="5A276EAB" w14:textId="77777777" w:rsidR="00DF0F2F" w:rsidRDefault="00DF0F2F" w:rsidP="00673E81">
            <w:pPr>
              <w:pStyle w:val="ThesisTableText"/>
            </w:pPr>
            <w:r>
              <w:t>Gallup World Poll (NZ) 2015</w:t>
            </w:r>
          </w:p>
          <w:p w14:paraId="531668ED" w14:textId="77777777" w:rsidR="00DF0F2F" w:rsidRDefault="00DF0F2F" w:rsidP="00673E81">
            <w:pPr>
              <w:pStyle w:val="ThesisTableText"/>
              <w:rPr>
                <w:i/>
              </w:rPr>
            </w:pPr>
            <w:r>
              <w:rPr>
                <w:i/>
              </w:rPr>
              <w:t>Gallup-Healthways Inc.</w:t>
            </w:r>
          </w:p>
          <w:p w14:paraId="35CD7DD3" w14:textId="1DC42856" w:rsidR="0006241B" w:rsidRPr="0006241B" w:rsidRDefault="0006241B" w:rsidP="00673E81">
            <w:pPr>
              <w:pStyle w:val="ThesisTableText"/>
            </w:pPr>
            <w:r>
              <w:t>(Gallup, 2014)</w:t>
            </w:r>
          </w:p>
        </w:tc>
        <w:tc>
          <w:tcPr>
            <w:tcW w:w="819" w:type="pct"/>
          </w:tcPr>
          <w:p w14:paraId="2760CA1E" w14:textId="77777777" w:rsidR="00DF0F2F" w:rsidRDefault="00DF0F2F" w:rsidP="00673E81">
            <w:pPr>
              <w:pStyle w:val="ThesisTableText"/>
            </w:pPr>
            <w:r>
              <w:t>1,007; NZ resident adults; Probability sample; Entire NZ adult population</w:t>
            </w:r>
          </w:p>
        </w:tc>
        <w:tc>
          <w:tcPr>
            <w:tcW w:w="785" w:type="pct"/>
          </w:tcPr>
          <w:p w14:paraId="473698CB" w14:textId="77777777" w:rsidR="00DF0F2F" w:rsidRDefault="00DF0F2F" w:rsidP="00673E81">
            <w:pPr>
              <w:pStyle w:val="ThesisTableText"/>
            </w:pPr>
            <w:r>
              <w:t xml:space="preserve">CATI; May 2015-Jul 2015; conducted annually </w:t>
            </w:r>
          </w:p>
        </w:tc>
        <w:tc>
          <w:tcPr>
            <w:tcW w:w="1026" w:type="pct"/>
          </w:tcPr>
          <w:p w14:paraId="149090EB" w14:textId="77777777" w:rsidR="00DF0F2F" w:rsidRDefault="00DF0F2F" w:rsidP="00673E81">
            <w:pPr>
              <w:pStyle w:val="ThesisTableText"/>
            </w:pPr>
            <w:r>
              <w:t>Business and economics</w:t>
            </w:r>
          </w:p>
          <w:p w14:paraId="091453CD" w14:textId="77777777" w:rsidR="00DF0F2F" w:rsidRDefault="00DF0F2F" w:rsidP="00673E81">
            <w:pPr>
              <w:pStyle w:val="ThesisTableText"/>
            </w:pPr>
            <w:r>
              <w:t>Citizen engagement</w:t>
            </w:r>
          </w:p>
          <w:p w14:paraId="6BDF9D70" w14:textId="77777777" w:rsidR="00DF0F2F" w:rsidRDefault="00DF0F2F" w:rsidP="00673E81">
            <w:pPr>
              <w:pStyle w:val="ThesisTableText"/>
            </w:pPr>
            <w:r>
              <w:t>Communications and technology</w:t>
            </w:r>
          </w:p>
          <w:p w14:paraId="7CA7B3D7" w14:textId="77777777" w:rsidR="00DF0F2F" w:rsidRDefault="00DF0F2F" w:rsidP="00673E81">
            <w:pPr>
              <w:pStyle w:val="ThesisTableText"/>
            </w:pPr>
            <w:r>
              <w:t>Education and families</w:t>
            </w:r>
          </w:p>
          <w:p w14:paraId="48AB3D82" w14:textId="77777777" w:rsidR="00DF0F2F" w:rsidRDefault="00DF0F2F" w:rsidP="00673E81">
            <w:pPr>
              <w:pStyle w:val="ThesisTableText"/>
            </w:pPr>
            <w:r>
              <w:t>Environment and energy</w:t>
            </w:r>
          </w:p>
          <w:p w14:paraId="6C638E8C" w14:textId="77777777" w:rsidR="00DF0F2F" w:rsidRDefault="00DF0F2F" w:rsidP="00673E81">
            <w:pPr>
              <w:pStyle w:val="ThesisTableText"/>
            </w:pPr>
            <w:r>
              <w:t>Food and shelter</w:t>
            </w:r>
          </w:p>
          <w:p w14:paraId="42608765" w14:textId="77777777" w:rsidR="00DF0F2F" w:rsidRDefault="00DF0F2F" w:rsidP="00673E81">
            <w:pPr>
              <w:pStyle w:val="ThesisTableText"/>
            </w:pPr>
            <w:r>
              <w:t>Government and policies</w:t>
            </w:r>
          </w:p>
          <w:p w14:paraId="0C371552" w14:textId="77777777" w:rsidR="00DF0F2F" w:rsidRDefault="00DF0F2F" w:rsidP="00673E81">
            <w:pPr>
              <w:pStyle w:val="ThesisTableText"/>
            </w:pPr>
            <w:r>
              <w:t>Health</w:t>
            </w:r>
          </w:p>
          <w:p w14:paraId="3839A648" w14:textId="77777777" w:rsidR="00DF0F2F" w:rsidRDefault="00DF0F2F" w:rsidP="00673E81">
            <w:pPr>
              <w:pStyle w:val="ThesisTableText"/>
            </w:pPr>
            <w:r>
              <w:t>Law and order</w:t>
            </w:r>
          </w:p>
          <w:p w14:paraId="16ACFA8A" w14:textId="77777777" w:rsidR="00DF0F2F" w:rsidRDefault="00DF0F2F" w:rsidP="00673E81">
            <w:pPr>
              <w:pStyle w:val="ThesisTableText"/>
            </w:pPr>
            <w:r>
              <w:t>Religion and ethics</w:t>
            </w:r>
          </w:p>
          <w:p w14:paraId="05144692" w14:textId="77777777" w:rsidR="00DF0F2F" w:rsidRDefault="00DF0F2F" w:rsidP="00673E81">
            <w:pPr>
              <w:pStyle w:val="ThesisTableText"/>
            </w:pPr>
            <w:r>
              <w:t>Social issues</w:t>
            </w:r>
          </w:p>
          <w:p w14:paraId="75E3F89F" w14:textId="77777777" w:rsidR="00DF0F2F" w:rsidRDefault="00DF0F2F" w:rsidP="00673E81">
            <w:pPr>
              <w:pStyle w:val="ThesisTableText"/>
            </w:pPr>
            <w:r>
              <w:t>Wellbeing</w:t>
            </w:r>
            <w:r w:rsidRPr="00652204">
              <w:rPr>
                <w:rFonts w:ascii="Times New Roman" w:hAnsi="Times New Roman"/>
                <w:vertAlign w:val="superscript"/>
              </w:rPr>
              <w:t>†</w:t>
            </w:r>
          </w:p>
          <w:p w14:paraId="45C5E4B2" w14:textId="77777777" w:rsidR="00DF0F2F" w:rsidRDefault="00DF0F2F" w:rsidP="00673E81">
            <w:pPr>
              <w:pStyle w:val="ThesisTableText"/>
            </w:pPr>
            <w:r>
              <w:t>Work</w:t>
            </w:r>
          </w:p>
        </w:tc>
        <w:tc>
          <w:tcPr>
            <w:tcW w:w="1594" w:type="pct"/>
          </w:tcPr>
          <w:p w14:paraId="53E36119" w14:textId="77777777" w:rsidR="00DF0F2F" w:rsidRDefault="00DF0F2F" w:rsidP="00673E81">
            <w:pPr>
              <w:pStyle w:val="ThesisTableText"/>
              <w:numPr>
                <w:ilvl w:val="0"/>
                <w:numId w:val="19"/>
              </w:numPr>
              <w:rPr>
                <w:rFonts w:cs="Arial"/>
              </w:rPr>
            </w:pPr>
            <w:r>
              <w:rPr>
                <w:rFonts w:cs="Arial"/>
              </w:rPr>
              <w:t>Please imagine a ladder with steps number from zero at the bottom to ten at the top. The top of the ladder represents the best possible life for you, and the bottom of the ladder represents the worst possible life for you. On which step of the ladder would you say you personally stand at this time? [0-10]</w:t>
            </w:r>
          </w:p>
          <w:p w14:paraId="5510CD27" w14:textId="77777777" w:rsidR="00DF0F2F" w:rsidRPr="00E773B1" w:rsidRDefault="00DF0F2F" w:rsidP="00673E81">
            <w:pPr>
              <w:pStyle w:val="ThesisTableText"/>
              <w:numPr>
                <w:ilvl w:val="0"/>
                <w:numId w:val="19"/>
              </w:numPr>
              <w:rPr>
                <w:rFonts w:cs="Arial"/>
              </w:rPr>
            </w:pPr>
            <w:r w:rsidRPr="00FA34E1">
              <w:rPr>
                <w:rFonts w:cs="Arial"/>
                <w:i/>
                <w:vertAlign w:val="superscript"/>
              </w:rPr>
              <w:t>§</w:t>
            </w:r>
            <w:r>
              <w:rPr>
                <w:rFonts w:cs="Arial"/>
                <w:i/>
              </w:rPr>
              <w:t xml:space="preserve">Life in five </w:t>
            </w:r>
            <w:proofErr w:type="spellStart"/>
            <w:r>
              <w:rPr>
                <w:rFonts w:cs="Arial"/>
                <w:i/>
              </w:rPr>
              <w:t>years time</w:t>
            </w:r>
            <w:proofErr w:type="spellEnd"/>
          </w:p>
          <w:p w14:paraId="009B3F8B" w14:textId="77777777" w:rsidR="00DF0F2F" w:rsidRPr="00E773B1" w:rsidRDefault="00DF0F2F" w:rsidP="00673E81">
            <w:pPr>
              <w:pStyle w:val="ThesisTableText"/>
              <w:numPr>
                <w:ilvl w:val="0"/>
                <w:numId w:val="19"/>
              </w:numPr>
              <w:rPr>
                <w:rFonts w:cs="Arial"/>
              </w:rPr>
            </w:pPr>
            <w:r w:rsidRPr="00FA34E1">
              <w:rPr>
                <w:rFonts w:cs="Arial"/>
                <w:i/>
                <w:vertAlign w:val="superscript"/>
              </w:rPr>
              <w:t>§</w:t>
            </w:r>
            <w:r>
              <w:rPr>
                <w:rFonts w:cs="Arial"/>
                <w:i/>
              </w:rPr>
              <w:t xml:space="preserve">Satisfaction with standard of living </w:t>
            </w:r>
          </w:p>
          <w:p w14:paraId="5EE159F6" w14:textId="77777777" w:rsidR="00DF0F2F" w:rsidRPr="00E773B1" w:rsidRDefault="00DF0F2F" w:rsidP="00673E81">
            <w:pPr>
              <w:pStyle w:val="ThesisTableText"/>
              <w:numPr>
                <w:ilvl w:val="0"/>
                <w:numId w:val="19"/>
              </w:numPr>
              <w:rPr>
                <w:rFonts w:cs="Arial"/>
              </w:rPr>
            </w:pPr>
            <w:r w:rsidRPr="00FA34E1">
              <w:rPr>
                <w:rFonts w:cs="Arial"/>
                <w:i/>
                <w:vertAlign w:val="superscript"/>
              </w:rPr>
              <w:t>§</w:t>
            </w:r>
            <w:r>
              <w:rPr>
                <w:rFonts w:cs="Arial"/>
                <w:i/>
              </w:rPr>
              <w:t>Smile or laugh a lot yesterday?</w:t>
            </w:r>
          </w:p>
          <w:p w14:paraId="0645217E" w14:textId="77777777" w:rsidR="00DF0F2F" w:rsidRPr="00E773B1" w:rsidRDefault="00DF0F2F" w:rsidP="00673E81">
            <w:pPr>
              <w:pStyle w:val="ThesisTableText"/>
              <w:numPr>
                <w:ilvl w:val="0"/>
                <w:numId w:val="19"/>
              </w:numPr>
              <w:rPr>
                <w:rFonts w:cs="Arial"/>
              </w:rPr>
            </w:pPr>
            <w:r w:rsidRPr="00FA34E1">
              <w:rPr>
                <w:rFonts w:cs="Arial"/>
                <w:i/>
                <w:vertAlign w:val="superscript"/>
              </w:rPr>
              <w:t>§</w:t>
            </w:r>
            <w:r>
              <w:rPr>
                <w:rFonts w:cs="Arial"/>
                <w:i/>
              </w:rPr>
              <w:t>Enjoyment?</w:t>
            </w:r>
          </w:p>
          <w:p w14:paraId="252285AA" w14:textId="77777777" w:rsidR="00DF0F2F" w:rsidRPr="00E773B1" w:rsidRDefault="00DF0F2F" w:rsidP="00673E81">
            <w:pPr>
              <w:pStyle w:val="ThesisTableText"/>
              <w:numPr>
                <w:ilvl w:val="0"/>
                <w:numId w:val="19"/>
              </w:numPr>
              <w:rPr>
                <w:rFonts w:cs="Arial"/>
              </w:rPr>
            </w:pPr>
            <w:r w:rsidRPr="00FA34E1">
              <w:rPr>
                <w:rFonts w:cs="Arial"/>
                <w:i/>
                <w:vertAlign w:val="superscript"/>
              </w:rPr>
              <w:t>§</w:t>
            </w:r>
            <w:r>
              <w:rPr>
                <w:rFonts w:cs="Arial"/>
                <w:i/>
              </w:rPr>
              <w:t>Worry?</w:t>
            </w:r>
          </w:p>
          <w:p w14:paraId="386E88A6" w14:textId="77777777" w:rsidR="00DF0F2F" w:rsidRPr="00E773B1" w:rsidRDefault="00DF0F2F" w:rsidP="00673E81">
            <w:pPr>
              <w:pStyle w:val="ThesisTableText"/>
              <w:numPr>
                <w:ilvl w:val="0"/>
                <w:numId w:val="19"/>
              </w:numPr>
              <w:rPr>
                <w:rFonts w:cs="Arial"/>
              </w:rPr>
            </w:pPr>
            <w:r w:rsidRPr="00FA34E1">
              <w:rPr>
                <w:rFonts w:cs="Arial"/>
                <w:i/>
                <w:vertAlign w:val="superscript"/>
              </w:rPr>
              <w:t>§</w:t>
            </w:r>
            <w:r>
              <w:rPr>
                <w:rFonts w:cs="Arial"/>
                <w:i/>
              </w:rPr>
              <w:t>Sadness?</w:t>
            </w:r>
          </w:p>
          <w:p w14:paraId="037D237F" w14:textId="77777777" w:rsidR="00DF0F2F" w:rsidRPr="00E773B1" w:rsidRDefault="00DF0F2F" w:rsidP="00673E81">
            <w:pPr>
              <w:pStyle w:val="ThesisTableText"/>
              <w:numPr>
                <w:ilvl w:val="0"/>
                <w:numId w:val="19"/>
              </w:numPr>
              <w:rPr>
                <w:rFonts w:cs="Arial"/>
              </w:rPr>
            </w:pPr>
            <w:r w:rsidRPr="00FA34E1">
              <w:rPr>
                <w:rFonts w:cs="Arial"/>
                <w:i/>
                <w:vertAlign w:val="superscript"/>
              </w:rPr>
              <w:t>§</w:t>
            </w:r>
            <w:r>
              <w:rPr>
                <w:rFonts w:cs="Arial"/>
                <w:i/>
              </w:rPr>
              <w:t>Stress?</w:t>
            </w:r>
          </w:p>
          <w:p w14:paraId="72C774C8" w14:textId="77777777" w:rsidR="00DF0F2F" w:rsidRPr="00E773B1" w:rsidRDefault="00DF0F2F" w:rsidP="00673E81">
            <w:pPr>
              <w:pStyle w:val="ThesisTableText"/>
              <w:numPr>
                <w:ilvl w:val="0"/>
                <w:numId w:val="19"/>
              </w:numPr>
              <w:rPr>
                <w:rFonts w:cs="Arial"/>
              </w:rPr>
            </w:pPr>
            <w:r w:rsidRPr="00FA34E1">
              <w:rPr>
                <w:rFonts w:cs="Arial"/>
                <w:i/>
                <w:vertAlign w:val="superscript"/>
              </w:rPr>
              <w:t>§</w:t>
            </w:r>
            <w:r>
              <w:rPr>
                <w:rFonts w:cs="Arial"/>
                <w:i/>
              </w:rPr>
              <w:t>Anger?</w:t>
            </w:r>
          </w:p>
          <w:p w14:paraId="68D81EF4" w14:textId="77777777" w:rsidR="00DF0F2F" w:rsidRPr="004152CE" w:rsidRDefault="00DF0F2F" w:rsidP="00673E81">
            <w:pPr>
              <w:pStyle w:val="ThesisTableText"/>
              <w:numPr>
                <w:ilvl w:val="0"/>
                <w:numId w:val="19"/>
              </w:numPr>
              <w:rPr>
                <w:rFonts w:cs="Arial"/>
              </w:rPr>
            </w:pPr>
            <w:r w:rsidRPr="00FA34E1">
              <w:rPr>
                <w:rFonts w:cs="Arial"/>
                <w:i/>
                <w:vertAlign w:val="superscript"/>
              </w:rPr>
              <w:t>§</w:t>
            </w:r>
            <w:r>
              <w:rPr>
                <w:rFonts w:cs="Arial"/>
                <w:i/>
              </w:rPr>
              <w:t>Freedom to decide how to live my life</w:t>
            </w:r>
          </w:p>
        </w:tc>
      </w:tr>
      <w:tr w:rsidR="00DF0F2F" w:rsidRPr="00041421" w14:paraId="77282804" w14:textId="77777777" w:rsidTr="00673E81">
        <w:trPr>
          <w:cantSplit/>
          <w:trHeight w:val="20"/>
        </w:trPr>
        <w:tc>
          <w:tcPr>
            <w:tcW w:w="776" w:type="pct"/>
          </w:tcPr>
          <w:p w14:paraId="18AC166C" w14:textId="77777777" w:rsidR="00DF0F2F" w:rsidRDefault="00DF0F2F" w:rsidP="00673E81">
            <w:pPr>
              <w:pStyle w:val="ThesisTableText"/>
            </w:pPr>
            <w:r>
              <w:lastRenderedPageBreak/>
              <w:t>Youth2000 2012</w:t>
            </w:r>
          </w:p>
          <w:p w14:paraId="7AABA90B" w14:textId="77777777" w:rsidR="00DF0F2F" w:rsidRDefault="00DF0F2F" w:rsidP="00673E81">
            <w:pPr>
              <w:pStyle w:val="ThesisTableText"/>
              <w:rPr>
                <w:i/>
              </w:rPr>
            </w:pPr>
            <w:r>
              <w:rPr>
                <w:i/>
              </w:rPr>
              <w:t>University of Auckland</w:t>
            </w:r>
          </w:p>
          <w:p w14:paraId="1CE4DB78" w14:textId="2680F924" w:rsidR="008046D1" w:rsidRPr="008046D1" w:rsidRDefault="008046D1" w:rsidP="00673E81">
            <w:pPr>
              <w:pStyle w:val="ThesisTableText"/>
            </w:pPr>
            <w:r>
              <w:t>(Clark et al., 2013)</w:t>
            </w:r>
          </w:p>
        </w:tc>
        <w:tc>
          <w:tcPr>
            <w:tcW w:w="819" w:type="pct"/>
          </w:tcPr>
          <w:p w14:paraId="12C440D8" w14:textId="77777777" w:rsidR="00DF0F2F" w:rsidRPr="00556E34" w:rsidRDefault="00DF0F2F" w:rsidP="00673E81">
            <w:pPr>
              <w:pStyle w:val="ThesisTableText"/>
            </w:pPr>
            <w:r>
              <w:t>8,500; NZ secondary school students; Probability sample; New Zealand secondary schools</w:t>
            </w:r>
          </w:p>
        </w:tc>
        <w:tc>
          <w:tcPr>
            <w:tcW w:w="785" w:type="pct"/>
          </w:tcPr>
          <w:p w14:paraId="0DF8656E" w14:textId="77777777" w:rsidR="00DF0F2F" w:rsidRPr="00556E34" w:rsidRDefault="00DF0F2F" w:rsidP="00673E81">
            <w:pPr>
              <w:pStyle w:val="ThesisTableText"/>
            </w:pPr>
            <w:r>
              <w:t xml:space="preserve">Self-complete; </w:t>
            </w:r>
            <w:r w:rsidRPr="008C6790">
              <w:t>April-September 2012;</w:t>
            </w:r>
            <w:r>
              <w:rPr>
                <w:color w:val="FF0000"/>
              </w:rPr>
              <w:t xml:space="preserve"> </w:t>
            </w:r>
            <w:r>
              <w:t>conducted every six years (funding dependant)</w:t>
            </w:r>
          </w:p>
        </w:tc>
        <w:tc>
          <w:tcPr>
            <w:tcW w:w="1026" w:type="pct"/>
          </w:tcPr>
          <w:p w14:paraId="0D57E0F7" w14:textId="77777777" w:rsidR="00DF0F2F" w:rsidRDefault="00DF0F2F" w:rsidP="00673E81">
            <w:pPr>
              <w:pStyle w:val="ThesisTableText"/>
            </w:pPr>
            <w:r>
              <w:t>Demographics</w:t>
            </w:r>
          </w:p>
          <w:p w14:paraId="7F5E1973" w14:textId="77777777" w:rsidR="00DF0F2F" w:rsidRDefault="00DF0F2F" w:rsidP="00673E81">
            <w:pPr>
              <w:pStyle w:val="ThesisTableText"/>
            </w:pPr>
            <w:r>
              <w:t>Ethnicity</w:t>
            </w:r>
          </w:p>
          <w:p w14:paraId="58035A0B" w14:textId="77777777" w:rsidR="00DF0F2F" w:rsidRDefault="00DF0F2F" w:rsidP="00673E81">
            <w:pPr>
              <w:pStyle w:val="ThesisTableText"/>
            </w:pPr>
            <w:r>
              <w:t>Home</w:t>
            </w:r>
          </w:p>
          <w:p w14:paraId="13A24F36" w14:textId="77777777" w:rsidR="00DF0F2F" w:rsidRDefault="00DF0F2F" w:rsidP="00673E81">
            <w:pPr>
              <w:pStyle w:val="ThesisTableText"/>
            </w:pPr>
            <w:r>
              <w:t>School</w:t>
            </w:r>
          </w:p>
          <w:p w14:paraId="54C57DB8" w14:textId="77777777" w:rsidR="00DF0F2F" w:rsidRDefault="00DF0F2F" w:rsidP="00673E81">
            <w:pPr>
              <w:pStyle w:val="ThesisTableText"/>
            </w:pPr>
            <w:r>
              <w:t>Driving behaviours</w:t>
            </w:r>
          </w:p>
          <w:p w14:paraId="3774D10A" w14:textId="77777777" w:rsidR="00DF0F2F" w:rsidRDefault="00DF0F2F" w:rsidP="00673E81">
            <w:pPr>
              <w:pStyle w:val="ThesisTableText"/>
            </w:pPr>
            <w:r>
              <w:t>Violence and anti-social behaviours</w:t>
            </w:r>
          </w:p>
          <w:p w14:paraId="17843444" w14:textId="77777777" w:rsidR="00DF0F2F" w:rsidRDefault="00DF0F2F" w:rsidP="00673E81">
            <w:pPr>
              <w:pStyle w:val="ThesisTableText"/>
            </w:pPr>
            <w:r>
              <w:t>Health</w:t>
            </w:r>
          </w:p>
          <w:p w14:paraId="45D5E10E" w14:textId="77777777" w:rsidR="00DF0F2F" w:rsidRDefault="00DF0F2F" w:rsidP="00673E81">
            <w:pPr>
              <w:pStyle w:val="ThesisTableText"/>
            </w:pPr>
            <w:r>
              <w:t>Food and activities</w:t>
            </w:r>
          </w:p>
          <w:p w14:paraId="3927B373" w14:textId="77777777" w:rsidR="00DF0F2F" w:rsidRDefault="00DF0F2F" w:rsidP="00673E81">
            <w:pPr>
              <w:pStyle w:val="ThesisTableText"/>
            </w:pPr>
            <w:r>
              <w:t>Sexual health</w:t>
            </w:r>
          </w:p>
          <w:p w14:paraId="431C02B1" w14:textId="77777777" w:rsidR="00DF0F2F" w:rsidRDefault="00DF0F2F" w:rsidP="00673E81">
            <w:pPr>
              <w:pStyle w:val="ThesisTableText"/>
            </w:pPr>
            <w:r>
              <w:t>Cigarettes, alcohol and drugs</w:t>
            </w:r>
          </w:p>
          <w:p w14:paraId="24A017D2" w14:textId="77777777" w:rsidR="00DF0F2F" w:rsidRDefault="00DF0F2F" w:rsidP="00673E81">
            <w:pPr>
              <w:pStyle w:val="ThesisTableText"/>
            </w:pPr>
            <w:r>
              <w:t>Gambling</w:t>
            </w:r>
          </w:p>
          <w:p w14:paraId="2CBE8CC3" w14:textId="77777777" w:rsidR="00DF0F2F" w:rsidRPr="00556E34" w:rsidRDefault="00DF0F2F" w:rsidP="00673E81">
            <w:pPr>
              <w:pStyle w:val="ThesisTableText"/>
            </w:pPr>
            <w:r>
              <w:t>Friends and neighbourhood</w:t>
            </w:r>
            <w:r w:rsidRPr="00652204">
              <w:rPr>
                <w:rFonts w:ascii="Times New Roman" w:hAnsi="Times New Roman"/>
                <w:vertAlign w:val="superscript"/>
              </w:rPr>
              <w:t>†</w:t>
            </w:r>
          </w:p>
        </w:tc>
        <w:tc>
          <w:tcPr>
            <w:tcW w:w="1594" w:type="pct"/>
          </w:tcPr>
          <w:p w14:paraId="252AD488" w14:textId="77777777" w:rsidR="00DF0F2F" w:rsidRDefault="00DF0F2F" w:rsidP="00673E81">
            <w:pPr>
              <w:pStyle w:val="ThesisTableText"/>
              <w:rPr>
                <w:rFonts w:cs="Arial"/>
              </w:rPr>
            </w:pPr>
          </w:p>
        </w:tc>
      </w:tr>
      <w:tr w:rsidR="00DF0F2F" w:rsidRPr="00041421" w14:paraId="63DF1FCF" w14:textId="77777777" w:rsidTr="00673E81">
        <w:trPr>
          <w:cantSplit/>
          <w:trHeight w:val="20"/>
        </w:trPr>
        <w:tc>
          <w:tcPr>
            <w:tcW w:w="776" w:type="pct"/>
          </w:tcPr>
          <w:p w14:paraId="5A940DA6" w14:textId="77777777" w:rsidR="00DF0F2F" w:rsidRDefault="00DF0F2F" w:rsidP="00673E81">
            <w:pPr>
              <w:pStyle w:val="ThesisTableText"/>
            </w:pPr>
            <w:r>
              <w:t>Growing up in New Zealand 2010</w:t>
            </w:r>
          </w:p>
          <w:p w14:paraId="370AEC38" w14:textId="77777777" w:rsidR="00DF0F2F" w:rsidRDefault="00DF0F2F" w:rsidP="00673E81">
            <w:pPr>
              <w:pStyle w:val="ThesisTableText"/>
              <w:rPr>
                <w:i/>
              </w:rPr>
            </w:pPr>
            <w:r>
              <w:rPr>
                <w:i/>
              </w:rPr>
              <w:t>University of Auckland</w:t>
            </w:r>
          </w:p>
          <w:p w14:paraId="7CDC7E3B" w14:textId="70B85DD1" w:rsidR="0041337E" w:rsidRPr="0041337E" w:rsidRDefault="0041337E" w:rsidP="00673E81">
            <w:pPr>
              <w:pStyle w:val="ThesisTableText"/>
            </w:pPr>
            <w:r>
              <w:t>(Morton et al., 2014)</w:t>
            </w:r>
          </w:p>
        </w:tc>
        <w:tc>
          <w:tcPr>
            <w:tcW w:w="819" w:type="pct"/>
          </w:tcPr>
          <w:p w14:paraId="31E390F9" w14:textId="77777777" w:rsidR="00DF0F2F" w:rsidRPr="00556E34" w:rsidRDefault="00DF0F2F" w:rsidP="00CB5AA9">
            <w:pPr>
              <w:pStyle w:val="ThesisTableText"/>
            </w:pPr>
            <w:r w:rsidRPr="00CB5AA9">
              <w:t xml:space="preserve">6,327; </w:t>
            </w:r>
            <w:r w:rsidR="00CB5AA9">
              <w:t>all expected births in the Auckland, Counties-Manukau, and Waikato District Health Board regions between 25 April 2009 and 25 March 2010; Cohort sample;</w:t>
            </w:r>
            <w:r w:rsidRPr="000E51AE">
              <w:rPr>
                <w:color w:val="FF0000"/>
              </w:rPr>
              <w:t xml:space="preserve"> </w:t>
            </w:r>
            <w:r>
              <w:t>All expected births in the Auckland, Counties-Manukau, and Waikato District Health Board regions between 25 April 2009 and 25 March 2010</w:t>
            </w:r>
          </w:p>
        </w:tc>
        <w:tc>
          <w:tcPr>
            <w:tcW w:w="785" w:type="pct"/>
          </w:tcPr>
          <w:p w14:paraId="023D7DE6" w14:textId="77777777" w:rsidR="00DF0F2F" w:rsidRPr="001B48D0" w:rsidRDefault="00DF0F2F" w:rsidP="00673E81">
            <w:pPr>
              <w:pStyle w:val="ThesisTableText"/>
            </w:pPr>
            <w:r>
              <w:t>CAPI &amp; CATI; longitudinal</w:t>
            </w:r>
          </w:p>
        </w:tc>
        <w:tc>
          <w:tcPr>
            <w:tcW w:w="1026" w:type="pct"/>
          </w:tcPr>
          <w:p w14:paraId="0C138114" w14:textId="77777777" w:rsidR="00DF0F2F" w:rsidRPr="00556E34" w:rsidRDefault="00DF0F2F" w:rsidP="00673E81">
            <w:pPr>
              <w:pStyle w:val="ThesisTableText"/>
            </w:pPr>
            <w:r>
              <w:t>-</w:t>
            </w:r>
          </w:p>
        </w:tc>
        <w:tc>
          <w:tcPr>
            <w:tcW w:w="1594" w:type="pct"/>
          </w:tcPr>
          <w:p w14:paraId="634B894C" w14:textId="77777777" w:rsidR="00DF0F2F" w:rsidRDefault="00DF0F2F" w:rsidP="00673E81">
            <w:pPr>
              <w:pStyle w:val="ThesisTableText"/>
              <w:jc w:val="center"/>
              <w:rPr>
                <w:rFonts w:cs="Arial"/>
              </w:rPr>
            </w:pPr>
          </w:p>
        </w:tc>
      </w:tr>
      <w:tr w:rsidR="00DF0F2F" w:rsidRPr="00041421" w14:paraId="07BE4215" w14:textId="77777777" w:rsidTr="00673E81">
        <w:trPr>
          <w:cantSplit/>
          <w:trHeight w:val="20"/>
        </w:trPr>
        <w:tc>
          <w:tcPr>
            <w:tcW w:w="776" w:type="pct"/>
          </w:tcPr>
          <w:p w14:paraId="01D438BF" w14:textId="77777777" w:rsidR="00DF0F2F" w:rsidRDefault="00DF0F2F" w:rsidP="00673E81">
            <w:pPr>
              <w:pStyle w:val="ThesisTableText"/>
            </w:pPr>
            <w:r>
              <w:lastRenderedPageBreak/>
              <w:t>Christchurch Health and Development Study</w:t>
            </w:r>
          </w:p>
          <w:p w14:paraId="18A25BB4" w14:textId="77777777" w:rsidR="00DF0F2F" w:rsidRDefault="00DF0F2F" w:rsidP="00673E81">
            <w:pPr>
              <w:pStyle w:val="ThesisTableText"/>
              <w:rPr>
                <w:i/>
              </w:rPr>
            </w:pPr>
            <w:r>
              <w:rPr>
                <w:i/>
              </w:rPr>
              <w:t>University of Otago</w:t>
            </w:r>
          </w:p>
          <w:p w14:paraId="4591A41E" w14:textId="7709F6D5" w:rsidR="003312C1" w:rsidRPr="003312C1" w:rsidRDefault="003312C1" w:rsidP="00673E81">
            <w:pPr>
              <w:pStyle w:val="ThesisTableText"/>
            </w:pPr>
            <w:r>
              <w:t>(Fergusson &amp; Horwood, 2001)</w:t>
            </w:r>
          </w:p>
        </w:tc>
        <w:tc>
          <w:tcPr>
            <w:tcW w:w="819" w:type="pct"/>
          </w:tcPr>
          <w:p w14:paraId="7F51FD98" w14:textId="77777777" w:rsidR="00DF0F2F" w:rsidRPr="00556E34" w:rsidRDefault="00DF0F2F" w:rsidP="00673E81">
            <w:pPr>
              <w:pStyle w:val="ThesisTableText"/>
            </w:pPr>
            <w:r>
              <w:t>1,011; Children born in Christchurch urban region during mid 1977; Cohort sample; Children born in Christchurch urban region during mid 1977</w:t>
            </w:r>
          </w:p>
        </w:tc>
        <w:tc>
          <w:tcPr>
            <w:tcW w:w="785" w:type="pct"/>
          </w:tcPr>
          <w:p w14:paraId="077ABA3E" w14:textId="77777777" w:rsidR="00DF0F2F" w:rsidRPr="00556E34" w:rsidRDefault="006A161D" w:rsidP="006A161D">
            <w:pPr>
              <w:pStyle w:val="ThesisTableText"/>
            </w:pPr>
            <w:r>
              <w:t>Face-to-face interviews; 1995-1998 (approximately); 21-year longitudinal</w:t>
            </w:r>
          </w:p>
        </w:tc>
        <w:tc>
          <w:tcPr>
            <w:tcW w:w="1026" w:type="pct"/>
          </w:tcPr>
          <w:p w14:paraId="0A47801E" w14:textId="77777777" w:rsidR="00DF0F2F" w:rsidRDefault="00DF0F2F" w:rsidP="00673E81">
            <w:pPr>
              <w:pStyle w:val="ThesisTableText"/>
            </w:pPr>
            <w:r>
              <w:t>Prenatal and perinatal history</w:t>
            </w:r>
          </w:p>
          <w:p w14:paraId="740ABD16" w14:textId="77777777" w:rsidR="00DF0F2F" w:rsidRDefault="00DF0F2F" w:rsidP="00673E81">
            <w:pPr>
              <w:pStyle w:val="ThesisTableText"/>
            </w:pPr>
            <w:r>
              <w:t>Family social background</w:t>
            </w:r>
          </w:p>
          <w:p w14:paraId="5B04EC0D" w14:textId="77777777" w:rsidR="00DF0F2F" w:rsidRDefault="00DF0F2F" w:rsidP="00673E81">
            <w:pPr>
              <w:pStyle w:val="ThesisTableText"/>
            </w:pPr>
            <w:r>
              <w:t>Parental characteristics</w:t>
            </w:r>
          </w:p>
          <w:p w14:paraId="66E0A0B0" w14:textId="77777777" w:rsidR="00DF0F2F" w:rsidRDefault="00DF0F2F" w:rsidP="00673E81">
            <w:pPr>
              <w:pStyle w:val="ThesisTableText"/>
            </w:pPr>
            <w:r>
              <w:t>Family change and stability</w:t>
            </w:r>
          </w:p>
          <w:p w14:paraId="52816457" w14:textId="77777777" w:rsidR="00DF0F2F" w:rsidRDefault="00DF0F2F" w:rsidP="00673E81">
            <w:pPr>
              <w:pStyle w:val="ThesisTableText"/>
            </w:pPr>
            <w:r>
              <w:t>Exposure to child abuse and family dysfunction</w:t>
            </w:r>
          </w:p>
          <w:p w14:paraId="48F346BB" w14:textId="77777777" w:rsidR="00DF0F2F" w:rsidRDefault="00DF0F2F" w:rsidP="00673E81">
            <w:pPr>
              <w:pStyle w:val="ThesisTableText"/>
            </w:pPr>
            <w:r>
              <w:t>Child health and healthcare utilisation</w:t>
            </w:r>
          </w:p>
          <w:p w14:paraId="37ED47B4" w14:textId="77777777" w:rsidR="00DF0F2F" w:rsidRDefault="00DF0F2F" w:rsidP="00673E81">
            <w:pPr>
              <w:pStyle w:val="ThesisTableText"/>
            </w:pPr>
            <w:r>
              <w:t>Educational achievement</w:t>
            </w:r>
          </w:p>
          <w:p w14:paraId="24E4A114" w14:textId="77777777" w:rsidR="00DF0F2F" w:rsidRDefault="00DF0F2F" w:rsidP="00673E81">
            <w:pPr>
              <w:pStyle w:val="ThesisTableText"/>
            </w:pPr>
            <w:r>
              <w:t>Behavioural adjustment at school</w:t>
            </w:r>
          </w:p>
          <w:p w14:paraId="72044A30" w14:textId="77777777" w:rsidR="00DF0F2F" w:rsidRDefault="00DF0F2F" w:rsidP="00673E81">
            <w:pPr>
              <w:pStyle w:val="ThesisTableText"/>
            </w:pPr>
            <w:r>
              <w:t>Peer affiliations and relationships</w:t>
            </w:r>
            <w:r w:rsidRPr="00652204">
              <w:rPr>
                <w:rFonts w:ascii="Times New Roman" w:hAnsi="Times New Roman"/>
                <w:vertAlign w:val="superscript"/>
              </w:rPr>
              <w:t>†</w:t>
            </w:r>
          </w:p>
          <w:p w14:paraId="299F100C" w14:textId="77777777" w:rsidR="00DF0F2F" w:rsidRDefault="00DF0F2F" w:rsidP="00673E81">
            <w:pPr>
              <w:pStyle w:val="ThesisTableText"/>
            </w:pPr>
            <w:r>
              <w:t>Mental health and psychosocial adjustment</w:t>
            </w:r>
            <w:r w:rsidRPr="00652204">
              <w:rPr>
                <w:rFonts w:ascii="Times New Roman" w:hAnsi="Times New Roman"/>
                <w:vertAlign w:val="superscript"/>
              </w:rPr>
              <w:t>†</w:t>
            </w:r>
          </w:p>
          <w:p w14:paraId="56375288" w14:textId="77777777" w:rsidR="00DF0F2F" w:rsidRDefault="00DF0F2F" w:rsidP="00673E81">
            <w:pPr>
              <w:pStyle w:val="ThesisTableText"/>
            </w:pPr>
            <w:r>
              <w:t>Participation in tertiary education and workforce</w:t>
            </w:r>
          </w:p>
          <w:p w14:paraId="236611C3" w14:textId="77777777" w:rsidR="00DF0F2F" w:rsidRPr="00556E34" w:rsidRDefault="00DF0F2F" w:rsidP="00673E81">
            <w:pPr>
              <w:pStyle w:val="ThesisTableText"/>
            </w:pPr>
          </w:p>
        </w:tc>
        <w:tc>
          <w:tcPr>
            <w:tcW w:w="1594" w:type="pct"/>
          </w:tcPr>
          <w:p w14:paraId="1DC41DF7" w14:textId="77777777" w:rsidR="00DF0F2F" w:rsidRDefault="00DF0F2F" w:rsidP="00673E81">
            <w:pPr>
              <w:pStyle w:val="ThesisTableText"/>
              <w:jc w:val="center"/>
              <w:rPr>
                <w:rFonts w:cs="Arial"/>
              </w:rPr>
            </w:pPr>
          </w:p>
        </w:tc>
      </w:tr>
      <w:tr w:rsidR="00DF0F2F" w:rsidRPr="00041421" w14:paraId="7BF6E021" w14:textId="77777777" w:rsidTr="00673E81">
        <w:trPr>
          <w:cantSplit/>
          <w:trHeight w:val="20"/>
        </w:trPr>
        <w:tc>
          <w:tcPr>
            <w:tcW w:w="776" w:type="pct"/>
          </w:tcPr>
          <w:p w14:paraId="28F9DFB2" w14:textId="77777777" w:rsidR="00DF0F2F" w:rsidRDefault="00DF0F2F" w:rsidP="00673E81">
            <w:pPr>
              <w:pStyle w:val="ThesisTableText"/>
            </w:pPr>
            <w:r>
              <w:t>Youth Connectedness Survey 2013</w:t>
            </w:r>
          </w:p>
          <w:p w14:paraId="35B42CD8" w14:textId="77777777" w:rsidR="00DF0F2F" w:rsidRDefault="00DF0F2F" w:rsidP="00673E81">
            <w:pPr>
              <w:pStyle w:val="ThesisTableText"/>
              <w:rPr>
                <w:i/>
              </w:rPr>
            </w:pPr>
            <w:r>
              <w:rPr>
                <w:i/>
              </w:rPr>
              <w:t>Victoria University</w:t>
            </w:r>
          </w:p>
          <w:p w14:paraId="15076EC2" w14:textId="47C43E51" w:rsidR="00BE3799" w:rsidRPr="00BE3799" w:rsidRDefault="00BE3799" w:rsidP="00673E81">
            <w:pPr>
              <w:pStyle w:val="ThesisTableText"/>
            </w:pPr>
            <w:r>
              <w:t>(Crespo, Pryor, Kleeb, &amp; Jose, 2007; P. Jose, personal communication, Feb 23, 2016)</w:t>
            </w:r>
          </w:p>
        </w:tc>
        <w:tc>
          <w:tcPr>
            <w:tcW w:w="819" w:type="pct"/>
          </w:tcPr>
          <w:p w14:paraId="5930B9B4" w14:textId="77777777" w:rsidR="00DF0F2F" w:rsidRPr="00556E34" w:rsidRDefault="00DF0F2F" w:rsidP="00673E81">
            <w:pPr>
              <w:pStyle w:val="ThesisTableText"/>
            </w:pPr>
            <w:r>
              <w:t>950; NZ students 10-15 years old; Non-probability; 78 North Island Schools</w:t>
            </w:r>
          </w:p>
        </w:tc>
        <w:tc>
          <w:tcPr>
            <w:tcW w:w="785" w:type="pct"/>
          </w:tcPr>
          <w:p w14:paraId="3D511531" w14:textId="77777777" w:rsidR="00DF0F2F" w:rsidRPr="00556E34" w:rsidRDefault="00DF0F2F" w:rsidP="00673E81">
            <w:pPr>
              <w:pStyle w:val="ThesisTableText"/>
            </w:pPr>
            <w:r>
              <w:t>Self-complete</w:t>
            </w:r>
            <w:r w:rsidRPr="00F11946">
              <w:t>; 2013</w:t>
            </w:r>
            <w:r w:rsidR="00F11946" w:rsidRPr="00F11946">
              <w:t xml:space="preserve"> (unspecified)</w:t>
            </w:r>
            <w:r w:rsidRPr="00F11946">
              <w:t>;</w:t>
            </w:r>
            <w:r>
              <w:t xml:space="preserve"> longitudinal</w:t>
            </w:r>
          </w:p>
        </w:tc>
        <w:tc>
          <w:tcPr>
            <w:tcW w:w="1026" w:type="pct"/>
          </w:tcPr>
          <w:p w14:paraId="6AA6DABB" w14:textId="77777777" w:rsidR="00DF0F2F" w:rsidRDefault="00DF0F2F" w:rsidP="00673E81">
            <w:pPr>
              <w:pStyle w:val="ThesisTableText"/>
            </w:pPr>
            <w:r>
              <w:t>Demographics</w:t>
            </w:r>
          </w:p>
          <w:p w14:paraId="1E222149" w14:textId="77777777" w:rsidR="00DF0F2F" w:rsidRDefault="00DF0F2F" w:rsidP="00673E81">
            <w:pPr>
              <w:pStyle w:val="ThesisTableText"/>
            </w:pPr>
            <w:r>
              <w:t>Support</w:t>
            </w:r>
          </w:p>
          <w:p w14:paraId="1E63AFD5" w14:textId="77777777" w:rsidR="00DF0F2F" w:rsidRDefault="00DF0F2F" w:rsidP="00673E81">
            <w:pPr>
              <w:pStyle w:val="ThesisTableText"/>
            </w:pPr>
            <w:r>
              <w:t>Wellbeing</w:t>
            </w:r>
            <w:r w:rsidRPr="00652204">
              <w:rPr>
                <w:rFonts w:ascii="Times New Roman" w:hAnsi="Times New Roman"/>
                <w:vertAlign w:val="superscript"/>
              </w:rPr>
              <w:t>†</w:t>
            </w:r>
          </w:p>
          <w:p w14:paraId="715D4EB3" w14:textId="77777777" w:rsidR="00DF0F2F" w:rsidRDefault="00DF0F2F" w:rsidP="00673E81">
            <w:pPr>
              <w:pStyle w:val="ThesisTableText"/>
            </w:pPr>
            <w:r>
              <w:t>Coping and stress</w:t>
            </w:r>
          </w:p>
          <w:p w14:paraId="23A11E71" w14:textId="77777777" w:rsidR="00DF0F2F" w:rsidRDefault="00DF0F2F" w:rsidP="00673E81">
            <w:pPr>
              <w:pStyle w:val="ThesisTableText"/>
            </w:pPr>
            <w:r>
              <w:t>Family dynamics</w:t>
            </w:r>
          </w:p>
          <w:p w14:paraId="7719A0CD" w14:textId="77777777" w:rsidR="00DF0F2F" w:rsidRDefault="00DF0F2F" w:rsidP="00673E81">
            <w:pPr>
              <w:pStyle w:val="ThesisTableText"/>
            </w:pPr>
            <w:r>
              <w:t>School achievements and relationships</w:t>
            </w:r>
          </w:p>
          <w:p w14:paraId="2D3ACAD1" w14:textId="77777777" w:rsidR="00DF0F2F" w:rsidRDefault="00DF0F2F" w:rsidP="00673E81">
            <w:pPr>
              <w:pStyle w:val="ThesisTableText"/>
            </w:pPr>
            <w:r>
              <w:t>Bullying</w:t>
            </w:r>
          </w:p>
          <w:p w14:paraId="43836E98" w14:textId="77777777" w:rsidR="00DF0F2F" w:rsidRDefault="00DF0F2F" w:rsidP="00673E81">
            <w:pPr>
              <w:pStyle w:val="ThesisTableText"/>
            </w:pPr>
            <w:r>
              <w:t>Peer relationships</w:t>
            </w:r>
            <w:r w:rsidRPr="00652204">
              <w:rPr>
                <w:rFonts w:ascii="Times New Roman" w:hAnsi="Times New Roman"/>
                <w:vertAlign w:val="superscript"/>
              </w:rPr>
              <w:t>†</w:t>
            </w:r>
          </w:p>
          <w:p w14:paraId="24369FAD" w14:textId="77777777" w:rsidR="00DF0F2F" w:rsidRDefault="00DF0F2F" w:rsidP="00673E81">
            <w:pPr>
              <w:pStyle w:val="ThesisTableText"/>
            </w:pPr>
            <w:r>
              <w:t>Technology</w:t>
            </w:r>
          </w:p>
          <w:p w14:paraId="5E987D3F" w14:textId="77777777" w:rsidR="00DF0F2F" w:rsidRDefault="00DF0F2F" w:rsidP="00673E81">
            <w:pPr>
              <w:pStyle w:val="ThesisTableText"/>
            </w:pPr>
            <w:r>
              <w:t>Spirituality</w:t>
            </w:r>
          </w:p>
          <w:p w14:paraId="1B09CC14" w14:textId="77777777" w:rsidR="00DF0F2F" w:rsidRDefault="00DF0F2F" w:rsidP="00673E81">
            <w:pPr>
              <w:pStyle w:val="ThesisTableText"/>
            </w:pPr>
            <w:r>
              <w:t>Ethnic identity</w:t>
            </w:r>
          </w:p>
          <w:p w14:paraId="61E6EE36" w14:textId="77777777" w:rsidR="00DF0F2F" w:rsidRPr="00556E34" w:rsidRDefault="00DF0F2F" w:rsidP="00673E81">
            <w:pPr>
              <w:pStyle w:val="ThesisTableText"/>
            </w:pPr>
            <w:r>
              <w:t>Community connections</w:t>
            </w:r>
            <w:r w:rsidRPr="00652204">
              <w:rPr>
                <w:rFonts w:ascii="Times New Roman" w:hAnsi="Times New Roman"/>
                <w:vertAlign w:val="superscript"/>
              </w:rPr>
              <w:t>†</w:t>
            </w:r>
          </w:p>
        </w:tc>
        <w:tc>
          <w:tcPr>
            <w:tcW w:w="1594" w:type="pct"/>
          </w:tcPr>
          <w:p w14:paraId="734D6A60" w14:textId="77777777" w:rsidR="00DF0F2F" w:rsidRDefault="00DF0F2F" w:rsidP="00673E81">
            <w:pPr>
              <w:pStyle w:val="ThesisTableText"/>
              <w:jc w:val="center"/>
              <w:rPr>
                <w:rFonts w:cs="Arial"/>
              </w:rPr>
            </w:pPr>
          </w:p>
        </w:tc>
      </w:tr>
      <w:tr w:rsidR="00DF0F2F" w:rsidRPr="00041421" w14:paraId="29C42728" w14:textId="77777777" w:rsidTr="00673E81">
        <w:trPr>
          <w:cantSplit/>
          <w:trHeight w:val="20"/>
        </w:trPr>
        <w:tc>
          <w:tcPr>
            <w:tcW w:w="776" w:type="pct"/>
          </w:tcPr>
          <w:p w14:paraId="49014A8C" w14:textId="77777777" w:rsidR="00DF0F2F" w:rsidRDefault="00DF0F2F" w:rsidP="00673E81">
            <w:pPr>
              <w:pStyle w:val="ThesisTableText"/>
            </w:pPr>
            <w:r>
              <w:lastRenderedPageBreak/>
              <w:t>CERA Youth Wellbeing Survey 2013</w:t>
            </w:r>
          </w:p>
          <w:p w14:paraId="117B94E5" w14:textId="77777777" w:rsidR="00DF0F2F" w:rsidRDefault="00DF0F2F" w:rsidP="00673E81">
            <w:pPr>
              <w:pStyle w:val="ThesisTableText"/>
              <w:rPr>
                <w:i/>
              </w:rPr>
            </w:pPr>
            <w:r>
              <w:rPr>
                <w:i/>
              </w:rPr>
              <w:t>Canterbury Earthquake Recovery Authority</w:t>
            </w:r>
          </w:p>
          <w:p w14:paraId="5195C0BD" w14:textId="56636DB5" w:rsidR="00215E80" w:rsidRPr="00215E80" w:rsidRDefault="00215E80" w:rsidP="00673E81">
            <w:pPr>
              <w:pStyle w:val="ThesisTableText"/>
            </w:pPr>
            <w:r>
              <w:t>(Canterbury Earthquake Recovery Authority, 2014)</w:t>
            </w:r>
          </w:p>
        </w:tc>
        <w:tc>
          <w:tcPr>
            <w:tcW w:w="819" w:type="pct"/>
          </w:tcPr>
          <w:p w14:paraId="790FF15E" w14:textId="77777777" w:rsidR="00DF0F2F" w:rsidRPr="00556E34" w:rsidRDefault="00DF0F2F" w:rsidP="00673E81">
            <w:pPr>
              <w:pStyle w:val="ThesisTableText"/>
            </w:pPr>
            <w:r>
              <w:t>3,341; Christchurch young people 12-24 years; Non-probability sample; Public advertisement</w:t>
            </w:r>
          </w:p>
        </w:tc>
        <w:tc>
          <w:tcPr>
            <w:tcW w:w="785" w:type="pct"/>
          </w:tcPr>
          <w:p w14:paraId="73AB93C3" w14:textId="77777777" w:rsidR="00DF0F2F" w:rsidRPr="00556E34" w:rsidRDefault="00DF0F2F" w:rsidP="00673E81">
            <w:pPr>
              <w:pStyle w:val="ThesisTableText"/>
            </w:pPr>
            <w:r>
              <w:t xml:space="preserve">Online survey; Sep 2013-Dec 2013; </w:t>
            </w:r>
            <w:r w:rsidR="00F11946">
              <w:t>one-off (repeat survey under review)</w:t>
            </w:r>
          </w:p>
        </w:tc>
        <w:tc>
          <w:tcPr>
            <w:tcW w:w="1026" w:type="pct"/>
          </w:tcPr>
          <w:p w14:paraId="1850A058" w14:textId="77777777" w:rsidR="00DF0F2F" w:rsidRDefault="00DF0F2F" w:rsidP="00673E81">
            <w:pPr>
              <w:pStyle w:val="ThesisTableText"/>
            </w:pPr>
            <w:r>
              <w:t>Demographics</w:t>
            </w:r>
          </w:p>
          <w:p w14:paraId="68241739" w14:textId="77777777" w:rsidR="00DF0F2F" w:rsidRDefault="00DF0F2F" w:rsidP="00673E81">
            <w:pPr>
              <w:pStyle w:val="ThesisTableText"/>
            </w:pPr>
            <w:r>
              <w:t>Quality of Life</w:t>
            </w:r>
            <w:r w:rsidRPr="00652204">
              <w:rPr>
                <w:rFonts w:ascii="Times New Roman" w:hAnsi="Times New Roman"/>
                <w:vertAlign w:val="superscript"/>
              </w:rPr>
              <w:t>†</w:t>
            </w:r>
          </w:p>
          <w:p w14:paraId="4B9BDBF2" w14:textId="77777777" w:rsidR="00DF0F2F" w:rsidRDefault="00DF0F2F" w:rsidP="00673E81">
            <w:pPr>
              <w:pStyle w:val="ThesisTableText"/>
            </w:pPr>
            <w:r>
              <w:t>Health and Wellbeing</w:t>
            </w:r>
            <w:r w:rsidRPr="00652204">
              <w:rPr>
                <w:rFonts w:ascii="Times New Roman" w:hAnsi="Times New Roman"/>
                <w:vertAlign w:val="superscript"/>
              </w:rPr>
              <w:t>†</w:t>
            </w:r>
          </w:p>
          <w:p w14:paraId="35519E85" w14:textId="77777777" w:rsidR="00DF0F2F" w:rsidRDefault="00DF0F2F" w:rsidP="00673E81">
            <w:pPr>
              <w:pStyle w:val="ThesisTableText"/>
            </w:pPr>
            <w:r>
              <w:t>Social connectedness</w:t>
            </w:r>
            <w:r w:rsidRPr="00652204">
              <w:rPr>
                <w:rFonts w:ascii="Times New Roman" w:hAnsi="Times New Roman"/>
                <w:vertAlign w:val="superscript"/>
              </w:rPr>
              <w:t>†</w:t>
            </w:r>
          </w:p>
          <w:p w14:paraId="173B125C" w14:textId="77777777" w:rsidR="00DF0F2F" w:rsidRDefault="00DF0F2F" w:rsidP="00673E81">
            <w:pPr>
              <w:pStyle w:val="ThesisTableText"/>
            </w:pPr>
            <w:r>
              <w:t>Impact of the earthquakes</w:t>
            </w:r>
          </w:p>
          <w:p w14:paraId="503C162F" w14:textId="77777777" w:rsidR="00DF0F2F" w:rsidRPr="00556E34" w:rsidRDefault="00DF0F2F" w:rsidP="00673E81">
            <w:pPr>
              <w:pStyle w:val="ThesisTableText"/>
            </w:pPr>
            <w:r>
              <w:t>Future plans</w:t>
            </w:r>
          </w:p>
        </w:tc>
        <w:tc>
          <w:tcPr>
            <w:tcW w:w="1594" w:type="pct"/>
          </w:tcPr>
          <w:p w14:paraId="2C2BDCD8" w14:textId="77777777" w:rsidR="00DF0F2F" w:rsidRDefault="00DF0F2F" w:rsidP="00673E81">
            <w:pPr>
              <w:pStyle w:val="ThesisTableText"/>
              <w:jc w:val="center"/>
              <w:rPr>
                <w:rFonts w:cs="Arial"/>
              </w:rPr>
            </w:pPr>
          </w:p>
        </w:tc>
      </w:tr>
      <w:tr w:rsidR="00DF0F2F" w:rsidRPr="00041421" w14:paraId="01D090DA" w14:textId="77777777" w:rsidTr="00673E81">
        <w:trPr>
          <w:cantSplit/>
          <w:trHeight w:val="627"/>
        </w:trPr>
        <w:tc>
          <w:tcPr>
            <w:tcW w:w="5000" w:type="pct"/>
            <w:gridSpan w:val="5"/>
          </w:tcPr>
          <w:p w14:paraId="651EF774" w14:textId="77777777" w:rsidR="00DF0F2F" w:rsidRDefault="00DF0F2F" w:rsidP="00F4745F">
            <w:pPr>
              <w:pStyle w:val="ThesisTableText"/>
              <w:rPr>
                <w:rFonts w:cs="Arial"/>
              </w:rPr>
            </w:pPr>
            <w:r>
              <w:rPr>
                <w:rFonts w:cs="Arial"/>
              </w:rPr>
              <w:t>CAPI = Computer assisted personal interview; CATI = Computer assisted telephone interview</w:t>
            </w:r>
          </w:p>
          <w:p w14:paraId="700819BE" w14:textId="77777777" w:rsidR="00DF0F2F" w:rsidRPr="00DF0F2F" w:rsidRDefault="00DF0F2F" w:rsidP="00F4745F">
            <w:pPr>
              <w:pStyle w:val="ThesisTableText"/>
              <w:rPr>
                <w:rFonts w:cs="Arial"/>
              </w:rPr>
            </w:pPr>
            <w:r w:rsidRPr="00652204">
              <w:rPr>
                <w:rFonts w:ascii="Times New Roman" w:hAnsi="Times New Roman"/>
                <w:vertAlign w:val="superscript"/>
              </w:rPr>
              <w:t>†</w:t>
            </w:r>
            <w:r>
              <w:rPr>
                <w:rFonts w:ascii="Times New Roman" w:hAnsi="Times New Roman"/>
                <w:vertAlign w:val="superscript"/>
              </w:rPr>
              <w:t xml:space="preserve"> </w:t>
            </w:r>
            <w:r>
              <w:rPr>
                <w:rFonts w:cs="Arial"/>
              </w:rPr>
              <w:t xml:space="preserve">Survey topics that contained items measuring individual wellbeing; </w:t>
            </w:r>
            <w:r w:rsidRPr="00FA34E1">
              <w:rPr>
                <w:rFonts w:cs="Arial"/>
                <w:i/>
                <w:vertAlign w:val="superscript"/>
              </w:rPr>
              <w:t>§</w:t>
            </w:r>
            <w:r>
              <w:rPr>
                <w:rFonts w:cs="Arial"/>
                <w:vertAlign w:val="superscript"/>
              </w:rPr>
              <w:t xml:space="preserve"> </w:t>
            </w:r>
            <w:r>
              <w:rPr>
                <w:rFonts w:cs="Arial"/>
              </w:rPr>
              <w:t>Additional w</w:t>
            </w:r>
            <w:r w:rsidRPr="00F4745F">
              <w:rPr>
                <w:rFonts w:cs="Arial"/>
              </w:rPr>
              <w:t>ellbeing survey item not directly comparable with OECD items.</w:t>
            </w:r>
          </w:p>
        </w:tc>
      </w:tr>
    </w:tbl>
    <w:p w14:paraId="3951B45E" w14:textId="77777777" w:rsidR="003E3F62" w:rsidRDefault="003E3F62" w:rsidP="000425FF"/>
    <w:p w14:paraId="222AB20F" w14:textId="77777777" w:rsidR="00BF270E" w:rsidRDefault="00BF270E" w:rsidP="003E3F62"/>
    <w:p w14:paraId="5AFD9DAC" w14:textId="77777777" w:rsidR="002500D0" w:rsidRDefault="002500D0" w:rsidP="003E3F62"/>
    <w:p w14:paraId="4E96C07A" w14:textId="77777777" w:rsidR="00DF0F2F" w:rsidRPr="00AC386B" w:rsidRDefault="003E3F62" w:rsidP="003E3F62">
      <w:pPr>
        <w:rPr>
          <w:b/>
          <w:sz w:val="28"/>
          <w:szCs w:val="24"/>
        </w:rPr>
        <w:sectPr w:rsidR="00DF0F2F" w:rsidRPr="00AC386B" w:rsidSect="00F11946">
          <w:pgSz w:w="16838" w:h="11906" w:orient="landscape"/>
          <w:pgMar w:top="1440" w:right="1440" w:bottom="1440" w:left="1440" w:header="708" w:footer="708" w:gutter="0"/>
          <w:pgNumType w:start="11"/>
          <w:cols w:space="708"/>
          <w:docGrid w:linePitch="360"/>
        </w:sectPr>
      </w:pPr>
      <w:r>
        <w:br w:type="page"/>
      </w:r>
    </w:p>
    <w:p w14:paraId="0862DEDE" w14:textId="77777777" w:rsidR="00CD2A94" w:rsidRDefault="00CD2A94" w:rsidP="00EA4018">
      <w:pPr>
        <w:pStyle w:val="Heading2"/>
        <w:spacing w:line="360" w:lineRule="auto"/>
      </w:pPr>
      <w:bookmarkStart w:id="9" w:name="_Toc444603290"/>
      <w:r>
        <w:lastRenderedPageBreak/>
        <w:t>Findings</w:t>
      </w:r>
      <w:bookmarkEnd w:id="9"/>
    </w:p>
    <w:p w14:paraId="540C9641" w14:textId="037C2FA6" w:rsidR="00961AD4" w:rsidRDefault="00961AD4" w:rsidP="00EA4018">
      <w:pPr>
        <w:spacing w:line="360" w:lineRule="auto"/>
      </w:pPr>
      <w:r>
        <w:t xml:space="preserve">The </w:t>
      </w:r>
      <w:r w:rsidR="00EB1768">
        <w:t xml:space="preserve">purpose </w:t>
      </w:r>
      <w:r>
        <w:t xml:space="preserve">of this report was to bring further understanding to the quality </w:t>
      </w:r>
      <w:r w:rsidR="00AB788A">
        <w:t xml:space="preserve">and scope </w:t>
      </w:r>
      <w:r>
        <w:t xml:space="preserve">of wellbeing measurement within New Zealand. By identifying the gaps and issues in measurement, </w:t>
      </w:r>
      <w:r w:rsidR="00952932">
        <w:t>we hope</w:t>
      </w:r>
      <w:r>
        <w:t xml:space="preserve"> that there can be greater direction for those working in this field moving forward.</w:t>
      </w:r>
    </w:p>
    <w:p w14:paraId="01ED30E1" w14:textId="77777777" w:rsidR="0077440B" w:rsidRPr="0081251D" w:rsidRDefault="0077440B" w:rsidP="00EA4018">
      <w:pPr>
        <w:spacing w:line="360" w:lineRule="auto"/>
        <w:rPr>
          <w:i/>
        </w:rPr>
      </w:pPr>
      <w:r w:rsidRPr="0081251D">
        <w:rPr>
          <w:i/>
        </w:rPr>
        <w:t>What are we doing well?</w:t>
      </w:r>
    </w:p>
    <w:p w14:paraId="0378E57C" w14:textId="6CC0984D" w:rsidR="0077440B" w:rsidRDefault="00A2066B" w:rsidP="00EA4018">
      <w:pPr>
        <w:spacing w:line="360" w:lineRule="auto"/>
      </w:pPr>
      <w:r>
        <w:t xml:space="preserve">On a broad level, findings from this study show that </w:t>
      </w:r>
      <w:r w:rsidR="00D16187">
        <w:t xml:space="preserve">although </w:t>
      </w:r>
      <w:r>
        <w:t xml:space="preserve">there is a </w:t>
      </w:r>
      <w:r w:rsidR="00952932">
        <w:t>lack of direct</w:t>
      </w:r>
      <w:r w:rsidR="00D16187">
        <w:t xml:space="preserve"> alignment between </w:t>
      </w:r>
      <w:r>
        <w:t>surveys in New Zealand and th</w:t>
      </w:r>
      <w:r w:rsidR="00D16187">
        <w:t>e OECD wellbeing measurement guidelines,</w:t>
      </w:r>
      <w:r w:rsidR="0077440B">
        <w:t xml:space="preserve"> there </w:t>
      </w:r>
      <w:r w:rsidR="00952932">
        <w:t>are multiple sources of wellbeing data in New Zealand</w:t>
      </w:r>
      <w:r w:rsidR="0077440B">
        <w:t>.</w:t>
      </w:r>
      <w:r w:rsidR="00063202">
        <w:t xml:space="preserve"> </w:t>
      </w:r>
      <w:r w:rsidR="00C724CD">
        <w:t xml:space="preserve">The </w:t>
      </w:r>
      <w:r w:rsidR="00952932">
        <w:t xml:space="preserve">entire </w:t>
      </w:r>
      <w:r w:rsidR="00C724CD">
        <w:t xml:space="preserve">OECD core module is </w:t>
      </w:r>
      <w:r w:rsidR="00952932">
        <w:t xml:space="preserve">included </w:t>
      </w:r>
      <w:r w:rsidR="00C724CD">
        <w:t xml:space="preserve">across </w:t>
      </w:r>
      <w:r w:rsidR="00952932">
        <w:t>different</w:t>
      </w:r>
      <w:r w:rsidR="00C724CD">
        <w:t xml:space="preserve"> surveys (albeit with varying scales and reference periods) and the </w:t>
      </w:r>
      <w:r w:rsidR="0081251D">
        <w:t xml:space="preserve">2014 </w:t>
      </w:r>
      <w:r w:rsidR="00C724CD">
        <w:t xml:space="preserve">GSS </w:t>
      </w:r>
      <w:r w:rsidR="00952932">
        <w:t xml:space="preserve">replicates </w:t>
      </w:r>
      <w:r w:rsidR="00C724CD">
        <w:t xml:space="preserve">the first two core module questions in a directly comparable way. In addition to this, the </w:t>
      </w:r>
      <w:r w:rsidR="0081251D">
        <w:t xml:space="preserve">2014 </w:t>
      </w:r>
      <w:r w:rsidR="00F87F30">
        <w:t xml:space="preserve">SWI comes close to covering the full OECD core module </w:t>
      </w:r>
      <w:r w:rsidR="00952932">
        <w:t>but extends measurement of wellbeing to</w:t>
      </w:r>
      <w:r w:rsidR="00F87F30">
        <w:t xml:space="preserve"> include </w:t>
      </w:r>
      <w:r w:rsidR="00952932">
        <w:t xml:space="preserve">multiple </w:t>
      </w:r>
      <w:r w:rsidR="00F87F30">
        <w:t>measures of hedonia and eudaimonia</w:t>
      </w:r>
      <w:r w:rsidR="00952932">
        <w:t>,</w:t>
      </w:r>
      <w:r w:rsidR="00F87F30">
        <w:t xml:space="preserve"> </w:t>
      </w:r>
      <w:r w:rsidR="00446590">
        <w:t>which</w:t>
      </w:r>
      <w:r w:rsidR="00AB788A">
        <w:t xml:space="preserve"> provide</w:t>
      </w:r>
      <w:r w:rsidR="00F87F30">
        <w:t xml:space="preserve"> a full</w:t>
      </w:r>
      <w:r w:rsidR="00446590">
        <w:t>er</w:t>
      </w:r>
      <w:r w:rsidR="00F87F30">
        <w:t xml:space="preserve"> picture of flourishing levels among participants.</w:t>
      </w:r>
      <w:r w:rsidR="004640BD">
        <w:t xml:space="preserve"> Statistics New Zealand also conduct two sub-population wellbeing surveys </w:t>
      </w:r>
      <w:r w:rsidR="00AB788A">
        <w:t xml:space="preserve">investigating wellbeing among </w:t>
      </w:r>
      <w:r w:rsidR="004640BD">
        <w:t>M</w:t>
      </w:r>
      <w:r w:rsidR="00AB788A">
        <w:t>ā</w:t>
      </w:r>
      <w:r w:rsidR="004640BD">
        <w:t>ori citizens and immig</w:t>
      </w:r>
      <w:r w:rsidR="0027107C">
        <w:t xml:space="preserve">rants to New Zealand. </w:t>
      </w:r>
      <w:r w:rsidR="00AB788A">
        <w:t xml:space="preserve">Full details of the </w:t>
      </w:r>
      <w:r w:rsidR="00AB788A" w:rsidRPr="00AB788A">
        <w:t>Longitudinal Immigration Survey</w:t>
      </w:r>
      <w:r w:rsidR="00AB788A" w:rsidRPr="00AB788A" w:rsidDel="00AB788A">
        <w:t xml:space="preserve"> </w:t>
      </w:r>
      <w:r w:rsidR="0027107C">
        <w:t>could not be accessed</w:t>
      </w:r>
      <w:r w:rsidR="00952932">
        <w:t>,</w:t>
      </w:r>
      <w:r w:rsidR="0027107C">
        <w:t xml:space="preserve"> </w:t>
      </w:r>
      <w:r w:rsidR="00952932">
        <w:t xml:space="preserve">however </w:t>
      </w:r>
      <w:r w:rsidR="0027107C">
        <w:t xml:space="preserve">the </w:t>
      </w:r>
      <w:r w:rsidR="00952932">
        <w:t xml:space="preserve">published list of </w:t>
      </w:r>
      <w:r w:rsidR="0027107C">
        <w:t>topics</w:t>
      </w:r>
      <w:r w:rsidR="00AB788A">
        <w:t xml:space="preserve"> </w:t>
      </w:r>
      <w:r w:rsidR="0027107C">
        <w:t>suggest it covers life satisfaction and social connectedness; Te Kupenga (M</w:t>
      </w:r>
      <w:r w:rsidR="00866E21">
        <w:t>ā</w:t>
      </w:r>
      <w:r w:rsidR="0027107C">
        <w:t>ori wellbeing survey) included life satisfaction, job satisfaction and so</w:t>
      </w:r>
      <w:r w:rsidR="00660DE6">
        <w:t>me measures of affect. Overall, the results show that wellbeing is being widely measured across New Z</w:t>
      </w:r>
      <w:r w:rsidR="00446590">
        <w:t xml:space="preserve">ealand surveys, but </w:t>
      </w:r>
      <w:r w:rsidR="00964638">
        <w:t>data is limited by</w:t>
      </w:r>
      <w:r w:rsidR="00660DE6">
        <w:t xml:space="preserve"> the consistency and comparability of measurements.</w:t>
      </w:r>
    </w:p>
    <w:p w14:paraId="50086CF0" w14:textId="77777777" w:rsidR="0081251D" w:rsidRPr="0081251D" w:rsidRDefault="0081251D" w:rsidP="00EA4018">
      <w:pPr>
        <w:spacing w:line="360" w:lineRule="auto"/>
        <w:rPr>
          <w:i/>
        </w:rPr>
      </w:pPr>
      <w:r>
        <w:rPr>
          <w:i/>
        </w:rPr>
        <w:t>What are the gaps?</w:t>
      </w:r>
    </w:p>
    <w:p w14:paraId="6E480812" w14:textId="00B67206" w:rsidR="00853AAF" w:rsidRPr="00853AAF" w:rsidRDefault="00A2066B" w:rsidP="00EA4018">
      <w:pPr>
        <w:spacing w:line="360" w:lineRule="auto"/>
        <w:rPr>
          <w:color w:val="FF0000"/>
        </w:rPr>
      </w:pPr>
      <w:r>
        <w:t xml:space="preserve">Data </w:t>
      </w:r>
      <w:r w:rsidR="005C754F">
        <w:t xml:space="preserve">were </w:t>
      </w:r>
      <w:r>
        <w:t xml:space="preserve">extracted from three surveys conducted by Statistics New Zealand, which showed very little comparability with the OECD wellbeing measures. The </w:t>
      </w:r>
      <w:r w:rsidR="005C754F">
        <w:t xml:space="preserve">2014 New Zealand </w:t>
      </w:r>
      <w:r>
        <w:t>Ge</w:t>
      </w:r>
      <w:r w:rsidR="00F87F30">
        <w:t>neral Social Survey</w:t>
      </w:r>
      <w:r>
        <w:t xml:space="preserve"> </w:t>
      </w:r>
      <w:r w:rsidR="005C754F">
        <w:t xml:space="preserve">included </w:t>
      </w:r>
      <w:r>
        <w:t>two quest</w:t>
      </w:r>
      <w:r w:rsidR="001B52AE">
        <w:t>ions</w:t>
      </w:r>
      <w:r w:rsidR="00F87F30">
        <w:t xml:space="preserve"> parall</w:t>
      </w:r>
      <w:r w:rsidR="008E127B">
        <w:t>el to the guidelines but the surv</w:t>
      </w:r>
      <w:r w:rsidR="001B6441">
        <w:t>ey focus is directed</w:t>
      </w:r>
      <w:r w:rsidR="005C754F">
        <w:t xml:space="preserve"> more</w:t>
      </w:r>
      <w:r w:rsidR="001B6441">
        <w:t xml:space="preserve"> toward</w:t>
      </w:r>
      <w:r w:rsidR="003F00D3">
        <w:t xml:space="preserve"> </w:t>
      </w:r>
      <w:r w:rsidR="001B52AE">
        <w:t xml:space="preserve">indicators of </w:t>
      </w:r>
      <w:r w:rsidR="005C754F">
        <w:t>quality of life and standards of living</w:t>
      </w:r>
      <w:r w:rsidR="001B52AE">
        <w:t>.</w:t>
      </w:r>
      <w:r w:rsidR="00BA77F0">
        <w:t xml:space="preserve"> Also, the New Zealand Health Survey (NZHS) which monitors population health in New Zealand only contains very basic, non-OECD comparable measures of wellbeing (energy, calm, depressed).</w:t>
      </w:r>
      <w:r>
        <w:t xml:space="preserve"> </w:t>
      </w:r>
      <w:r w:rsidR="00853AAF">
        <w:t xml:space="preserve">Although </w:t>
      </w:r>
      <w:r>
        <w:t>non-of</w:t>
      </w:r>
      <w:r w:rsidR="00853AAF">
        <w:t xml:space="preserve">ficial </w:t>
      </w:r>
      <w:r w:rsidR="00964638">
        <w:t>statistical</w:t>
      </w:r>
      <w:r w:rsidR="005C754F">
        <w:t xml:space="preserve"> </w:t>
      </w:r>
      <w:r w:rsidR="00853AAF">
        <w:t>sources</w:t>
      </w:r>
      <w:r w:rsidR="00866E21">
        <w:t xml:space="preserve"> (i.e., non-government agencies)</w:t>
      </w:r>
      <w:r w:rsidR="00853AAF">
        <w:t xml:space="preserve"> measure wellbeing more comprehensively, there are a number of methodological issues with these such as non-representative sampling frames, less reliable survey modes</w:t>
      </w:r>
      <w:r w:rsidR="005C754F">
        <w:t>,</w:t>
      </w:r>
      <w:r w:rsidR="00853AAF">
        <w:t xml:space="preserve"> and sma</w:t>
      </w:r>
      <w:r w:rsidR="00BA77F0">
        <w:t>ller sample sizes. In their</w:t>
      </w:r>
      <w:r w:rsidR="00853AAF">
        <w:t xml:space="preserve"> guidelines, the OECD</w:t>
      </w:r>
      <w:r w:rsidR="00BA77F0">
        <w:t xml:space="preserve"> (2013)</w:t>
      </w:r>
      <w:r w:rsidR="00853AAF">
        <w:t xml:space="preserve"> discuss the place of non-official sources of wellbeing data versus </w:t>
      </w:r>
      <w:r w:rsidR="005C754F">
        <w:t>the role of</w:t>
      </w:r>
      <w:r w:rsidR="00853AAF">
        <w:t xml:space="preserve"> national statistics agencies. Internationally, non-official sources, rather than national statistics offices, provide most of the information currently available on subjective wellbeing</w:t>
      </w:r>
      <w:r w:rsidR="00964638">
        <w:t>;</w:t>
      </w:r>
      <w:r w:rsidR="00853AAF">
        <w:t xml:space="preserve"> </w:t>
      </w:r>
      <w:r w:rsidR="00964638">
        <w:t>t</w:t>
      </w:r>
      <w:r w:rsidR="00853AAF">
        <w:t xml:space="preserve">he Gallup World Poll and the World Values Survey are the two largest surveys </w:t>
      </w:r>
      <w:r w:rsidR="00866E21">
        <w:t xml:space="preserve">worldwide </w:t>
      </w:r>
      <w:r w:rsidR="00853AAF">
        <w:t>covering wellbeing measurement. In identifying this issue, the OECD guidelines were written specifically for national statistics offices to improve usefulness, consistency</w:t>
      </w:r>
      <w:r w:rsidR="00964638">
        <w:t>,</w:t>
      </w:r>
      <w:r w:rsidR="00853AAF">
        <w:t xml:space="preserve"> and comparability of the data collected. </w:t>
      </w:r>
    </w:p>
    <w:p w14:paraId="4E99BD5F" w14:textId="77777777" w:rsidR="00F4745F" w:rsidRDefault="00F4745F" w:rsidP="00EA4018">
      <w:pPr>
        <w:spacing w:line="360" w:lineRule="auto"/>
        <w:rPr>
          <w:i/>
        </w:rPr>
      </w:pPr>
    </w:p>
    <w:p w14:paraId="5C6A83BD" w14:textId="49CE5B47" w:rsidR="008A55C9" w:rsidRPr="008A55C9" w:rsidRDefault="008A55C9" w:rsidP="00EA4018">
      <w:pPr>
        <w:spacing w:line="360" w:lineRule="auto"/>
        <w:rPr>
          <w:i/>
        </w:rPr>
      </w:pPr>
      <w:r>
        <w:rPr>
          <w:i/>
        </w:rPr>
        <w:lastRenderedPageBreak/>
        <w:t>Youth</w:t>
      </w:r>
      <w:r w:rsidR="00964638">
        <w:rPr>
          <w:i/>
        </w:rPr>
        <w:t xml:space="preserve"> wellbeing</w:t>
      </w:r>
      <w:r>
        <w:rPr>
          <w:i/>
        </w:rPr>
        <w:t xml:space="preserve"> </w:t>
      </w:r>
    </w:p>
    <w:p w14:paraId="7D4CC465" w14:textId="35ACD7C3" w:rsidR="006705E1" w:rsidRPr="00AC386B" w:rsidRDefault="00F83FD2" w:rsidP="00EA4018">
      <w:pPr>
        <w:spacing w:line="360" w:lineRule="auto"/>
        <w:rPr>
          <w:color w:val="FF0000"/>
        </w:rPr>
      </w:pPr>
      <w:r>
        <w:t xml:space="preserve">Findings from the child and youth wellbeing surveys demonstrate that there is some valuable work </w:t>
      </w:r>
      <w:r w:rsidR="00964638">
        <w:t>undertaken</w:t>
      </w:r>
      <w:r>
        <w:t xml:space="preserve"> in this </w:t>
      </w:r>
      <w:r w:rsidR="00866E21">
        <w:t>area</w:t>
      </w:r>
      <w:r w:rsidR="00AA210F">
        <w:t xml:space="preserve">. The Youth2000 survey (most recently conducted in 2012) has </w:t>
      </w:r>
      <w:r w:rsidR="00866E21">
        <w:t>reasonable</w:t>
      </w:r>
      <w:r w:rsidR="00AA210F">
        <w:t xml:space="preserve"> coverage of wellbeing measures including life satisfaction, social/community connectedness, and measures of affect and eudaimonia. The Youth Connectedness Survey 2013 also</w:t>
      </w:r>
      <w:r w:rsidR="00720052">
        <w:t xml:space="preserve"> appears to be</w:t>
      </w:r>
      <w:r w:rsidR="00AA210F">
        <w:t xml:space="preserve"> a comprehensive measure</w:t>
      </w:r>
      <w:r w:rsidR="00CD57EC">
        <w:t xml:space="preserve"> of</w:t>
      </w:r>
      <w:r w:rsidR="00AA210F">
        <w:t xml:space="preserve"> youth wellbeing</w:t>
      </w:r>
      <w:r w:rsidR="00720052">
        <w:t xml:space="preserve"> (despite no available questionnaire)</w:t>
      </w:r>
      <w:r w:rsidR="00AA210F">
        <w:t xml:space="preserve">. The CERA </w:t>
      </w:r>
      <w:r w:rsidR="00866E21">
        <w:t xml:space="preserve">Youth Wellbeing Survey </w:t>
      </w:r>
      <w:r w:rsidR="00F37BA3">
        <w:t xml:space="preserve">2013 </w:t>
      </w:r>
      <w:r w:rsidR="00964638">
        <w:t xml:space="preserve">measures wellbeing in </w:t>
      </w:r>
      <w:r w:rsidR="00AA210F">
        <w:t>the important sub-population of Canterbury youth affected by the 2011 earthquake</w:t>
      </w:r>
      <w:r w:rsidR="00F37BA3">
        <w:t>; among</w:t>
      </w:r>
      <w:r w:rsidR="00964638">
        <w:t>st</w:t>
      </w:r>
      <w:r w:rsidR="00F37BA3">
        <w:t xml:space="preserve"> earthquake and rebuild-related questions, the survey includes measures of quality of life, social support</w:t>
      </w:r>
      <w:r w:rsidR="00964638">
        <w:t>,</w:t>
      </w:r>
      <w:r w:rsidR="00F37BA3">
        <w:t xml:space="preserve"> and eudaimonia.</w:t>
      </w:r>
      <w:r w:rsidR="003F7E74">
        <w:t xml:space="preserve"> Conversely, a</w:t>
      </w:r>
      <w:r w:rsidR="00444A3A">
        <w:t xml:space="preserve">lthough youth wellbeing is measured </w:t>
      </w:r>
      <w:r w:rsidR="00964638">
        <w:t xml:space="preserve">in </w:t>
      </w:r>
      <w:r w:rsidR="00444A3A">
        <w:t xml:space="preserve">some New Zealand surveys, overall this area is greatly lacking in measurement consistency and validation. </w:t>
      </w:r>
      <w:r w:rsidR="006B427F">
        <w:t>At present, there are</w:t>
      </w:r>
      <w:r>
        <w:t xml:space="preserve"> no youth wellbeing surveys conducted by Statistics New </w:t>
      </w:r>
      <w:r w:rsidRPr="00F4745F">
        <w:t>Zealand;</w:t>
      </w:r>
      <w:r>
        <w:t xml:space="preserve"> the surveys in which data were extracted came </w:t>
      </w:r>
      <w:r w:rsidR="00F65CB1">
        <w:t>principally</w:t>
      </w:r>
      <w:r>
        <w:t xml:space="preserve"> from academic institutions.</w:t>
      </w:r>
      <w:r w:rsidR="00444A3A">
        <w:t xml:space="preserve"> Despite some wellbeing measur</w:t>
      </w:r>
      <w:r w:rsidR="00CD57EC">
        <w:t xml:space="preserve">ement, the majority of youth surveys tend to </w:t>
      </w:r>
      <w:r w:rsidR="00964638">
        <w:t>focus on</w:t>
      </w:r>
      <w:r w:rsidR="00444A3A">
        <w:t xml:space="preserve"> ill-being and negative objective indicators</w:t>
      </w:r>
      <w:r w:rsidR="00964638">
        <w:t>, such as alcohol consumption</w:t>
      </w:r>
      <w:r w:rsidR="00F75895">
        <w:t>, crime, bullying and depression</w:t>
      </w:r>
      <w:r w:rsidR="00444A3A">
        <w:t>.</w:t>
      </w:r>
      <w:r w:rsidR="009402BC">
        <w:t xml:space="preserve"> The future direction for youth wellbeing measurement </w:t>
      </w:r>
      <w:r w:rsidR="00964638">
        <w:t>should first focus on</w:t>
      </w:r>
      <w:r w:rsidR="009402BC">
        <w:t xml:space="preserve"> validation of individual wellbeing measures specifically for youth, and secondly, measurement of </w:t>
      </w:r>
      <w:r w:rsidR="00964638">
        <w:t xml:space="preserve">flourishing in </w:t>
      </w:r>
      <w:r w:rsidR="009402BC">
        <w:t xml:space="preserve">youth </w:t>
      </w:r>
      <w:r w:rsidR="00964638">
        <w:t>at a population level</w:t>
      </w:r>
      <w:r w:rsidR="009402BC">
        <w:t>.</w:t>
      </w:r>
      <w:r w:rsidR="00444A3A">
        <w:t xml:space="preserve"> </w:t>
      </w:r>
    </w:p>
    <w:p w14:paraId="051755A0" w14:textId="77777777" w:rsidR="00BA1D4A" w:rsidRDefault="006705E1" w:rsidP="00EA4018">
      <w:pPr>
        <w:pStyle w:val="Heading2"/>
        <w:spacing w:line="360" w:lineRule="auto"/>
      </w:pPr>
      <w:bookmarkStart w:id="10" w:name="_Toc444603291"/>
      <w:r>
        <w:t>Towards an understanding of wellbeing in New Zealand</w:t>
      </w:r>
      <w:bookmarkEnd w:id="10"/>
    </w:p>
    <w:p w14:paraId="6B3C8336" w14:textId="2C0FA286" w:rsidR="000F4E02" w:rsidRDefault="00385065" w:rsidP="00EA4018">
      <w:pPr>
        <w:spacing w:line="360" w:lineRule="auto"/>
      </w:pPr>
      <w:r>
        <w:t>The results of this study show that there i</w:t>
      </w:r>
      <w:r w:rsidR="00431C20">
        <w:t xml:space="preserve">s much work to </w:t>
      </w:r>
      <w:r w:rsidR="00E64C83">
        <w:t>do</w:t>
      </w:r>
      <w:r w:rsidR="00431C20">
        <w:t xml:space="preserve"> in progressing</w:t>
      </w:r>
      <w:r w:rsidR="002B2591">
        <w:t xml:space="preserve"> towards a</w:t>
      </w:r>
      <w:r w:rsidR="002B2591" w:rsidRPr="002B2591">
        <w:t xml:space="preserve"> broader</w:t>
      </w:r>
      <w:r w:rsidRPr="002B2591">
        <w:t xml:space="preserve"> </w:t>
      </w:r>
      <w:r>
        <w:t>understanding of wellbeing in New Zealand.</w:t>
      </w:r>
      <w:r w:rsidR="00673E81">
        <w:t xml:space="preserve"> In particular,</w:t>
      </w:r>
      <w:r w:rsidR="002B2591">
        <w:t xml:space="preserve"> there needs to be much greater consistency of measures in order</w:t>
      </w:r>
      <w:r w:rsidR="00553185">
        <w:t xml:space="preserve"> to enable comparability within</w:t>
      </w:r>
      <w:r w:rsidR="002B2591">
        <w:t xml:space="preserve"> New Zealand </w:t>
      </w:r>
      <w:r w:rsidR="00553185">
        <w:t>as well as internationally</w:t>
      </w:r>
      <w:r w:rsidR="00F10B41">
        <w:t>.</w:t>
      </w:r>
      <w:r w:rsidR="00431C20">
        <w:t xml:space="preserve"> To advance in the direction of this goal, the roles of those measuring wellbeing in New Zealand need to be properly defined.</w:t>
      </w:r>
      <w:r w:rsidR="001900DF">
        <w:t xml:space="preserve"> </w:t>
      </w:r>
    </w:p>
    <w:p w14:paraId="0B828F47" w14:textId="77777777" w:rsidR="000F4E02" w:rsidRDefault="000F4E02" w:rsidP="00EA4018">
      <w:pPr>
        <w:spacing w:line="360" w:lineRule="auto"/>
        <w:rPr>
          <w:i/>
        </w:rPr>
      </w:pPr>
      <w:r>
        <w:rPr>
          <w:i/>
        </w:rPr>
        <w:t xml:space="preserve">Role of </w:t>
      </w:r>
      <w:r w:rsidR="00686C44">
        <w:rPr>
          <w:i/>
        </w:rPr>
        <w:t>g</w:t>
      </w:r>
      <w:r w:rsidR="00B448CE">
        <w:rPr>
          <w:i/>
        </w:rPr>
        <w:t>overnment agencies</w:t>
      </w:r>
    </w:p>
    <w:p w14:paraId="2ABF568F" w14:textId="45E75456" w:rsidR="00716491" w:rsidRDefault="00716491" w:rsidP="00EA4018">
      <w:pPr>
        <w:spacing w:line="360" w:lineRule="auto"/>
      </w:pPr>
      <w:r>
        <w:t xml:space="preserve">Government agencies responsible for collecting and presenting official statistics are best suited to </w:t>
      </w:r>
      <w:r w:rsidR="00E64C83">
        <w:t>take</w:t>
      </w:r>
      <w:r w:rsidR="00E31983">
        <w:t xml:space="preserve"> the</w:t>
      </w:r>
      <w:r w:rsidR="00E64C83">
        <w:t xml:space="preserve"> lead </w:t>
      </w:r>
      <w:r w:rsidR="00E31983">
        <w:t>in</w:t>
      </w:r>
      <w:r w:rsidR="00E64C83">
        <w:t xml:space="preserve"> </w:t>
      </w:r>
      <w:r w:rsidR="0042399F">
        <w:t>population</w:t>
      </w:r>
      <w:r>
        <w:t xml:space="preserve"> wellbeing </w:t>
      </w:r>
      <w:r w:rsidR="00E64C83">
        <w:t xml:space="preserve">measurement </w:t>
      </w:r>
      <w:r>
        <w:t xml:space="preserve">in New Zealand. Statistics New Zealand </w:t>
      </w:r>
      <w:r w:rsidR="00E64C83">
        <w:t xml:space="preserve">are </w:t>
      </w:r>
      <w:r>
        <w:t>the principal producer of statistics within New Zealand, therefore they are equipped with the capacity, resources</w:t>
      </w:r>
      <w:r w:rsidR="00E64C83">
        <w:t>,</w:t>
      </w:r>
      <w:r>
        <w:t xml:space="preserve"> and </w:t>
      </w:r>
      <w:r w:rsidR="00AD41EB">
        <w:t>expertise necessary to employ</w:t>
      </w:r>
      <w:r>
        <w:t xml:space="preserve"> the OECD recommendations </w:t>
      </w:r>
      <w:r w:rsidR="007479AC">
        <w:t>with</w:t>
      </w:r>
      <w:r>
        <w:t>in their surveys. The NZGSS is well</w:t>
      </w:r>
      <w:r w:rsidR="00E64C83">
        <w:t xml:space="preserve"> </w:t>
      </w:r>
      <w:r>
        <w:t xml:space="preserve">suited for the implementation of these measures due to its multi-dimensional nature and </w:t>
      </w:r>
      <w:r w:rsidR="00E64C83">
        <w:t>broad scope,</w:t>
      </w:r>
      <w:r>
        <w:t xml:space="preserve"> which is to “give an overall picture of the social wellbeing of New Zealanders”</w:t>
      </w:r>
      <w:r w:rsidR="00D42A6D">
        <w:t xml:space="preserve"> (Statistics New Zealand, 2013)</w:t>
      </w:r>
      <w:r>
        <w:t xml:space="preserve">. Further measurement of subjective wellbeing alongside the already </w:t>
      </w:r>
      <w:r w:rsidR="002134E2">
        <w:t xml:space="preserve">collected </w:t>
      </w:r>
      <w:r>
        <w:t xml:space="preserve">objective </w:t>
      </w:r>
      <w:r w:rsidR="002134E2">
        <w:t xml:space="preserve">indicators of economic and social progress would </w:t>
      </w:r>
      <w:r>
        <w:t>give a fuller picture of the relationship between various social determinants and wellbeing. Despite having very little wellbeing measurement at present, the NZHS conducted by the Ministry of Health could also be an ideal survey to include further OECD-</w:t>
      </w:r>
      <w:r w:rsidR="002134E2">
        <w:t xml:space="preserve">endorsed </w:t>
      </w:r>
      <w:r>
        <w:t xml:space="preserve">questions in order to bring an understanding of the associations between health determinants and wellbeing. These sources have the capability to inform decisions </w:t>
      </w:r>
      <w:r>
        <w:lastRenderedPageBreak/>
        <w:t xml:space="preserve">affecting the </w:t>
      </w:r>
      <w:r w:rsidR="002134E2">
        <w:t xml:space="preserve">health, </w:t>
      </w:r>
      <w:r>
        <w:t>economic and social development of New Zealand, provide consistent and internationally comparable data, and enable benchmarking for other surveys.</w:t>
      </w:r>
      <w:r w:rsidR="007479AC">
        <w:t xml:space="preserve"> </w:t>
      </w:r>
    </w:p>
    <w:p w14:paraId="09687588" w14:textId="77777777" w:rsidR="000F4E02" w:rsidRPr="000F4E02" w:rsidRDefault="000F4E02" w:rsidP="00EA4018">
      <w:pPr>
        <w:spacing w:line="360" w:lineRule="auto"/>
        <w:rPr>
          <w:i/>
        </w:rPr>
      </w:pPr>
      <w:r w:rsidRPr="000F4E02">
        <w:rPr>
          <w:i/>
        </w:rPr>
        <w:t>Role of academic institutions and other entities</w:t>
      </w:r>
    </w:p>
    <w:p w14:paraId="0771A41F" w14:textId="222408C2" w:rsidR="007B337F" w:rsidRDefault="007B337F" w:rsidP="00EA4018">
      <w:pPr>
        <w:spacing w:line="360" w:lineRule="auto"/>
      </w:pPr>
      <w:r>
        <w:t>Although the information received from non-official data sources is</w:t>
      </w:r>
      <w:r w:rsidR="006B3120">
        <w:t xml:space="preserve"> greatly valuable, often these</w:t>
      </w:r>
      <w:r>
        <w:t xml:space="preserve"> entities are not able to achieve high response rates from nationally representative sampling frames in the same way that government agencies can. With government agencies taking the role of collecting high</w:t>
      </w:r>
      <w:r w:rsidR="00D5741F">
        <w:t xml:space="preserve"> </w:t>
      </w:r>
      <w:r>
        <w:t xml:space="preserve">quality population-level prevalence data of wellbeing, academic institutions and other </w:t>
      </w:r>
      <w:r w:rsidR="006B3120">
        <w:t>bodies</w:t>
      </w:r>
      <w:r>
        <w:t xml:space="preserve"> are </w:t>
      </w:r>
      <w:r w:rsidR="00D5741F">
        <w:t xml:space="preserve">able </w:t>
      </w:r>
      <w:r>
        <w:t xml:space="preserve">to direct their attention to </w:t>
      </w:r>
      <w:r w:rsidR="00D5741F">
        <w:t xml:space="preserve">understanding wellbeing in </w:t>
      </w:r>
      <w:r>
        <w:t xml:space="preserve">sub-populations and </w:t>
      </w:r>
      <w:r w:rsidR="00BE2D96">
        <w:t xml:space="preserve">to </w:t>
      </w:r>
      <w:r w:rsidR="00D5741F">
        <w:t xml:space="preserve">more in-depth study of </w:t>
      </w:r>
      <w:r>
        <w:t xml:space="preserve">specific wellbeing constructs. It is also the role of those in academia to </w:t>
      </w:r>
      <w:r w:rsidR="002134E2">
        <w:t xml:space="preserve">validate measures, </w:t>
      </w:r>
      <w:r>
        <w:t xml:space="preserve">test theories, develop </w:t>
      </w:r>
      <w:r w:rsidR="00D5741F">
        <w:t xml:space="preserve">and test </w:t>
      </w:r>
      <w:r>
        <w:t>interventions</w:t>
      </w:r>
      <w:r w:rsidR="002134E2">
        <w:t>,</w:t>
      </w:r>
      <w:r>
        <w:t xml:space="preserve"> and add to the literature base in this </w:t>
      </w:r>
      <w:r w:rsidR="006B3120">
        <w:t xml:space="preserve">growing </w:t>
      </w:r>
      <w:r>
        <w:t>area</w:t>
      </w:r>
      <w:r w:rsidR="006B3120">
        <w:t xml:space="preserve"> of research</w:t>
      </w:r>
      <w:r>
        <w:t xml:space="preserve">. </w:t>
      </w:r>
      <w:r w:rsidR="006B3120">
        <w:t xml:space="preserve">Such research should apply consistent and comparable measures of wellbeing so that estimates can be compared with national </w:t>
      </w:r>
      <w:r w:rsidR="002134E2">
        <w:t>benchmarks (such as the NZGSS and NZHS data)</w:t>
      </w:r>
      <w:r w:rsidR="006B3120">
        <w:t>. They should also follow good survey design principles, sample design and data collection procedures</w:t>
      </w:r>
      <w:r w:rsidR="00F03A34">
        <w:t xml:space="preserve"> as </w:t>
      </w:r>
      <w:r w:rsidR="002134E2">
        <w:t xml:space="preserve">recommended by </w:t>
      </w:r>
      <w:r w:rsidR="00F03A34">
        <w:t>Statistics New Zealand (2015).</w:t>
      </w:r>
    </w:p>
    <w:p w14:paraId="2DB1F834" w14:textId="77777777" w:rsidR="002352AB" w:rsidRDefault="002352AB" w:rsidP="00EA4018">
      <w:pPr>
        <w:spacing w:line="360" w:lineRule="auto"/>
        <w:rPr>
          <w:i/>
        </w:rPr>
      </w:pPr>
      <w:r>
        <w:rPr>
          <w:i/>
        </w:rPr>
        <w:t>Conclusion</w:t>
      </w:r>
    </w:p>
    <w:p w14:paraId="1F8BAC8C" w14:textId="2C9E4A9C" w:rsidR="00EC6CE5" w:rsidRDefault="00F03A34" w:rsidP="00EA4018">
      <w:pPr>
        <w:spacing w:line="360" w:lineRule="auto"/>
      </w:pPr>
      <w:r>
        <w:t>There are many different entities measuring wellbeing within in New Zealand</w:t>
      </w:r>
      <w:r w:rsidRPr="00DF3941">
        <w:t xml:space="preserve">. Although there is </w:t>
      </w:r>
      <w:r w:rsidR="0012602A" w:rsidRPr="00DF3941">
        <w:t xml:space="preserve">examples of </w:t>
      </w:r>
      <w:r w:rsidRPr="00DF3941">
        <w:t xml:space="preserve">some </w:t>
      </w:r>
      <w:r w:rsidR="00DF3941" w:rsidRPr="00DF3941">
        <w:t>good</w:t>
      </w:r>
      <w:r w:rsidR="00DF3941">
        <w:t xml:space="preserve"> measurement within</w:t>
      </w:r>
      <w:r w:rsidR="00DF3941" w:rsidRPr="00DF3941">
        <w:t xml:space="preserve"> </w:t>
      </w:r>
      <w:r w:rsidR="0012602A" w:rsidRPr="00DF3941">
        <w:t>surveys</w:t>
      </w:r>
      <w:r w:rsidRPr="00DF3941">
        <w:t>, consistency and comparability across surveys is not currently present</w:t>
      </w:r>
      <w:r>
        <w:t xml:space="preserve">. If all who are conducting wellbeing surveys could work from the same framework and benchmark measures, the data produced would be of </w:t>
      </w:r>
      <w:r w:rsidR="00EC6CE5">
        <w:t>considerably</w:t>
      </w:r>
      <w:r>
        <w:t xml:space="preserve"> greater </w:t>
      </w:r>
      <w:r w:rsidR="0012602A">
        <w:t>value</w:t>
      </w:r>
      <w:r>
        <w:t>. Government agen</w:t>
      </w:r>
      <w:r w:rsidR="00EC6CE5">
        <w:t>cies have the capability and resources</w:t>
      </w:r>
      <w:r>
        <w:t xml:space="preserve"> to produce high</w:t>
      </w:r>
      <w:r w:rsidR="00D5741F">
        <w:t xml:space="preserve"> </w:t>
      </w:r>
      <w:r>
        <w:t>quality, population-level data</w:t>
      </w:r>
      <w:r w:rsidR="00D5741F">
        <w:t>,</w:t>
      </w:r>
      <w:r>
        <w:t xml:space="preserve"> which can inform and influence the decisions of policy makers within New Zealand.</w:t>
      </w:r>
      <w:r w:rsidR="0031288D">
        <w:t xml:space="preserve"> Regular and consistent measures will lead to a</w:t>
      </w:r>
      <w:r>
        <w:t xml:space="preserve"> </w:t>
      </w:r>
      <w:r w:rsidR="0031288D">
        <w:t xml:space="preserve">greater understanding of population wellbeing in order that </w:t>
      </w:r>
      <w:r w:rsidR="00D5741F">
        <w:t xml:space="preserve">we can make </w:t>
      </w:r>
      <w:r w:rsidR="0031288D">
        <w:t>progress toward a happier, healthier, flourishing nation.</w:t>
      </w:r>
    </w:p>
    <w:p w14:paraId="627BDBFF" w14:textId="576566FC" w:rsidR="00A44CAB" w:rsidRDefault="00A44CAB" w:rsidP="00A44CAB">
      <w:pPr>
        <w:pStyle w:val="Heading2"/>
        <w:spacing w:line="360" w:lineRule="auto"/>
      </w:pPr>
      <w:bookmarkStart w:id="11" w:name="_Toc444603292"/>
      <w:r>
        <w:t>Project outcomes</w:t>
      </w:r>
      <w:r w:rsidR="00AE6F1C">
        <w:t xml:space="preserve"> and dissemination</w:t>
      </w:r>
      <w:bookmarkEnd w:id="11"/>
    </w:p>
    <w:p w14:paraId="2F0B24B8" w14:textId="48EB255C" w:rsidR="00AE6F1C" w:rsidRDefault="00AE6F1C" w:rsidP="00AE6F1C">
      <w:pPr>
        <w:spacing w:line="360" w:lineRule="auto"/>
      </w:pPr>
      <w:r>
        <w:t>This review will provide vital information to inform the development of a research funding application for the continuation of the Sovereign Wellbeing Index. In particular, the findings of this review will help determine changes to ensure appropriate content and methodology for population wellbeing assessment. This review will also contribute towards the preparation of a manuscript for submission to an academic journal. Dr Lisa Mackay, Professor Grant Schofield, and Dr Aaron Jarden will continue with work on this project.</w:t>
      </w:r>
    </w:p>
    <w:p w14:paraId="2FFD7251" w14:textId="561EF91A" w:rsidR="00CD2A94" w:rsidRDefault="00CD2A94" w:rsidP="00AE6F1C">
      <w:pPr>
        <w:spacing w:line="360" w:lineRule="auto"/>
        <w:rPr>
          <w:rFonts w:eastAsia="+mn-ea"/>
          <w:color w:val="746340"/>
          <w:kern w:val="24"/>
          <w:sz w:val="40"/>
          <w:szCs w:val="40"/>
        </w:rPr>
      </w:pPr>
      <w:r>
        <w:br w:type="page"/>
      </w:r>
    </w:p>
    <w:p w14:paraId="29175775" w14:textId="77777777" w:rsidR="004E2F75" w:rsidRDefault="004E2F75" w:rsidP="004E2F75">
      <w:pPr>
        <w:pStyle w:val="Heading1"/>
      </w:pPr>
      <w:bookmarkStart w:id="12" w:name="_Toc444603293"/>
      <w:r>
        <w:lastRenderedPageBreak/>
        <w:t>References</w:t>
      </w:r>
      <w:bookmarkEnd w:id="12"/>
    </w:p>
    <w:p w14:paraId="7F82E8A9" w14:textId="77777777" w:rsidR="00A400E7" w:rsidRDefault="00A400E7" w:rsidP="00F4745F">
      <w:pPr>
        <w:spacing w:line="360" w:lineRule="auto"/>
        <w:ind w:left="720" w:hanging="720"/>
        <w:rPr>
          <w:rStyle w:val="slug-doi"/>
          <w:bCs/>
          <w:szCs w:val="20"/>
          <w:bdr w:val="none" w:sz="0" w:space="0" w:color="auto" w:frame="1"/>
          <w:shd w:val="clear" w:color="auto" w:fill="FFFFFF"/>
        </w:rPr>
      </w:pPr>
      <w:r w:rsidRPr="007B03C1">
        <w:rPr>
          <w:szCs w:val="20"/>
        </w:rPr>
        <w:t xml:space="preserve">Amabile, T. M., Barsade, S. G., Mueller, J. S., &amp; Staw, B. M. (2005). Affect and creativity at work. </w:t>
      </w:r>
      <w:r w:rsidRPr="007B03C1">
        <w:rPr>
          <w:i/>
          <w:iCs/>
          <w:szCs w:val="20"/>
        </w:rPr>
        <w:t>Administrative science quarterly, 50</w:t>
      </w:r>
      <w:r w:rsidRPr="007B03C1">
        <w:rPr>
          <w:szCs w:val="20"/>
        </w:rPr>
        <w:t xml:space="preserve">(3), 367-403. </w:t>
      </w:r>
      <w:proofErr w:type="gramStart"/>
      <w:r w:rsidRPr="007B03C1">
        <w:rPr>
          <w:bCs/>
          <w:szCs w:val="20"/>
          <w:shd w:val="clear" w:color="auto" w:fill="FFFFFF"/>
        </w:rPr>
        <w:t>doi</w:t>
      </w:r>
      <w:proofErr w:type="gramEnd"/>
      <w:r w:rsidRPr="007B03C1">
        <w:rPr>
          <w:bCs/>
          <w:szCs w:val="20"/>
          <w:shd w:val="clear" w:color="auto" w:fill="FFFFFF"/>
        </w:rPr>
        <w:t>:</w:t>
      </w:r>
      <w:r w:rsidRPr="007B03C1">
        <w:rPr>
          <w:rStyle w:val="apple-converted-space"/>
          <w:bCs/>
          <w:szCs w:val="20"/>
          <w:shd w:val="clear" w:color="auto" w:fill="FFFFFF"/>
        </w:rPr>
        <w:t> </w:t>
      </w:r>
      <w:r w:rsidRPr="007B03C1">
        <w:rPr>
          <w:rStyle w:val="slug-doi"/>
          <w:bCs/>
          <w:szCs w:val="20"/>
          <w:bdr w:val="none" w:sz="0" w:space="0" w:color="auto" w:frame="1"/>
          <w:shd w:val="clear" w:color="auto" w:fill="FFFFFF"/>
        </w:rPr>
        <w:t>10.2189/asqu.2005.50.3.367</w:t>
      </w:r>
    </w:p>
    <w:p w14:paraId="5C248E55" w14:textId="77777777" w:rsidR="00DD4125" w:rsidRPr="00DD4125" w:rsidRDefault="00DD4125" w:rsidP="00F4745F">
      <w:pPr>
        <w:spacing w:line="360" w:lineRule="auto"/>
        <w:ind w:left="720" w:hanging="720"/>
        <w:rPr>
          <w:rStyle w:val="slug-doi"/>
          <w:b/>
          <w:bCs/>
          <w:szCs w:val="20"/>
          <w:bdr w:val="none" w:sz="0" w:space="0" w:color="auto" w:frame="1"/>
          <w:shd w:val="clear" w:color="auto" w:fill="FFFFFF"/>
        </w:rPr>
      </w:pPr>
      <w:r>
        <w:rPr>
          <w:rStyle w:val="slug-doi"/>
          <w:bCs/>
          <w:szCs w:val="20"/>
          <w:bdr w:val="none" w:sz="0" w:space="0" w:color="auto" w:frame="1"/>
          <w:shd w:val="clear" w:color="auto" w:fill="FFFFFF"/>
        </w:rPr>
        <w:t xml:space="preserve">Australian Unity. (n.d.). </w:t>
      </w:r>
      <w:r>
        <w:rPr>
          <w:rStyle w:val="slug-doi"/>
          <w:bCs/>
          <w:i/>
          <w:szCs w:val="20"/>
          <w:bdr w:val="none" w:sz="0" w:space="0" w:color="auto" w:frame="1"/>
          <w:shd w:val="clear" w:color="auto" w:fill="FFFFFF"/>
        </w:rPr>
        <w:t xml:space="preserve">The Australian unity wellbeing index. </w:t>
      </w:r>
      <w:r>
        <w:rPr>
          <w:rStyle w:val="slug-doi"/>
          <w:bCs/>
          <w:szCs w:val="20"/>
          <w:bdr w:val="none" w:sz="0" w:space="0" w:color="auto" w:frame="1"/>
          <w:shd w:val="clear" w:color="auto" w:fill="FFFFFF"/>
        </w:rPr>
        <w:t xml:space="preserve">Retrieved February 3, 2016 from </w:t>
      </w:r>
      <w:r w:rsidRPr="00DD4125">
        <w:rPr>
          <w:rStyle w:val="slug-doi"/>
          <w:bCs/>
          <w:szCs w:val="20"/>
          <w:bdr w:val="none" w:sz="0" w:space="0" w:color="auto" w:frame="1"/>
          <w:shd w:val="clear" w:color="auto" w:fill="FFFFFF"/>
        </w:rPr>
        <w:t>http://www.australianunity.com.au/about-us/wellbeing/auwbi</w:t>
      </w:r>
    </w:p>
    <w:p w14:paraId="0175454C" w14:textId="0B81DE4C" w:rsidR="00CE0A1B" w:rsidRPr="007B03C1" w:rsidRDefault="00CE0A1B" w:rsidP="00F4745F">
      <w:pPr>
        <w:spacing w:line="360" w:lineRule="auto"/>
        <w:ind w:left="720" w:hanging="720"/>
        <w:rPr>
          <w:rStyle w:val="slug-doi"/>
          <w:b/>
          <w:bCs/>
          <w:szCs w:val="20"/>
          <w:bdr w:val="none" w:sz="0" w:space="0" w:color="auto" w:frame="1"/>
          <w:shd w:val="clear" w:color="auto" w:fill="FFFFFF"/>
        </w:rPr>
      </w:pPr>
      <w:r w:rsidRPr="007B03C1">
        <w:rPr>
          <w:szCs w:val="20"/>
        </w:rPr>
        <w:t xml:space="preserve">Barsade, S. G. (2002). The ripple effect: Emotional contagion and its influence on group behaviour. </w:t>
      </w:r>
      <w:r w:rsidR="00D42A6D">
        <w:rPr>
          <w:i/>
          <w:iCs/>
          <w:szCs w:val="20"/>
        </w:rPr>
        <w:t>Administrative Science Q</w:t>
      </w:r>
      <w:r w:rsidRPr="007B03C1">
        <w:rPr>
          <w:i/>
          <w:iCs/>
          <w:szCs w:val="20"/>
        </w:rPr>
        <w:t>uarterly, 47</w:t>
      </w:r>
      <w:r w:rsidRPr="007B03C1">
        <w:rPr>
          <w:szCs w:val="20"/>
        </w:rPr>
        <w:t xml:space="preserve">(4), 644-675. </w:t>
      </w:r>
      <w:proofErr w:type="gramStart"/>
      <w:r w:rsidRPr="007B03C1">
        <w:rPr>
          <w:bCs/>
          <w:szCs w:val="20"/>
          <w:shd w:val="clear" w:color="auto" w:fill="FFFFFF"/>
        </w:rPr>
        <w:t>doi</w:t>
      </w:r>
      <w:proofErr w:type="gramEnd"/>
      <w:r w:rsidRPr="007B03C1">
        <w:rPr>
          <w:bCs/>
          <w:szCs w:val="20"/>
          <w:shd w:val="clear" w:color="auto" w:fill="FFFFFF"/>
        </w:rPr>
        <w:t>:</w:t>
      </w:r>
      <w:r w:rsidRPr="007B03C1">
        <w:rPr>
          <w:rStyle w:val="apple-converted-space"/>
          <w:bCs/>
          <w:szCs w:val="20"/>
          <w:shd w:val="clear" w:color="auto" w:fill="FFFFFF"/>
        </w:rPr>
        <w:t> </w:t>
      </w:r>
      <w:r w:rsidRPr="007B03C1">
        <w:rPr>
          <w:rStyle w:val="slug-doi"/>
          <w:bCs/>
          <w:szCs w:val="20"/>
          <w:bdr w:val="none" w:sz="0" w:space="0" w:color="auto" w:frame="1"/>
          <w:shd w:val="clear" w:color="auto" w:fill="FFFFFF"/>
        </w:rPr>
        <w:t>10.2307/3094912</w:t>
      </w:r>
    </w:p>
    <w:p w14:paraId="0AF0361A" w14:textId="77777777" w:rsidR="00CE0A1B" w:rsidRPr="007B03C1" w:rsidRDefault="00CE0A1B" w:rsidP="00F4745F">
      <w:pPr>
        <w:spacing w:line="360" w:lineRule="auto"/>
        <w:ind w:left="720" w:hanging="720"/>
        <w:rPr>
          <w:szCs w:val="20"/>
        </w:rPr>
      </w:pPr>
      <w:r w:rsidRPr="007B03C1">
        <w:rPr>
          <w:szCs w:val="20"/>
        </w:rPr>
        <w:t xml:space="preserve">Berry, D. S., &amp; Hansen, J. S. (1996). Positive affect, negative affect, and social interaction. </w:t>
      </w:r>
      <w:r w:rsidRPr="007B03C1">
        <w:rPr>
          <w:i/>
          <w:iCs/>
          <w:szCs w:val="20"/>
        </w:rPr>
        <w:t>Journal of personality and social psychology, 71</w:t>
      </w:r>
      <w:r w:rsidRPr="007B03C1">
        <w:rPr>
          <w:szCs w:val="20"/>
        </w:rPr>
        <w:t xml:space="preserve">(4), 796-809. </w:t>
      </w:r>
      <w:proofErr w:type="gramStart"/>
      <w:r w:rsidR="007B03C1" w:rsidRPr="007B03C1">
        <w:rPr>
          <w:szCs w:val="20"/>
        </w:rPr>
        <w:t>doi</w:t>
      </w:r>
      <w:proofErr w:type="gramEnd"/>
      <w:r w:rsidR="007B03C1" w:rsidRPr="007B03C1">
        <w:rPr>
          <w:szCs w:val="20"/>
        </w:rPr>
        <w:t xml:space="preserve">: </w:t>
      </w:r>
      <w:r w:rsidRPr="007B03C1">
        <w:rPr>
          <w:szCs w:val="20"/>
        </w:rPr>
        <w:t>10.1037/0022-3514.71.4.796</w:t>
      </w:r>
    </w:p>
    <w:p w14:paraId="3C582D7B" w14:textId="77777777" w:rsidR="00CE0A1B" w:rsidRPr="007B03C1" w:rsidRDefault="00CE0A1B" w:rsidP="00F4745F">
      <w:pPr>
        <w:spacing w:line="360" w:lineRule="auto"/>
        <w:ind w:left="720" w:hanging="720"/>
        <w:rPr>
          <w:szCs w:val="20"/>
        </w:rPr>
      </w:pPr>
      <w:r w:rsidRPr="007B03C1">
        <w:rPr>
          <w:szCs w:val="20"/>
        </w:rPr>
        <w:t xml:space="preserve">Blanchflower, D. G., &amp; Oswald, A. J. (2008). Hypertension and happiness across nations. </w:t>
      </w:r>
      <w:r w:rsidRPr="007B03C1">
        <w:rPr>
          <w:i/>
          <w:iCs/>
          <w:szCs w:val="20"/>
        </w:rPr>
        <w:t>Journal of Health Economics, 27</w:t>
      </w:r>
      <w:r w:rsidR="007B03C1">
        <w:rPr>
          <w:szCs w:val="20"/>
        </w:rPr>
        <w:t xml:space="preserve">(2), 218-233. </w:t>
      </w:r>
      <w:proofErr w:type="gramStart"/>
      <w:r w:rsidR="007B03C1">
        <w:rPr>
          <w:szCs w:val="20"/>
        </w:rPr>
        <w:t>doi</w:t>
      </w:r>
      <w:proofErr w:type="gramEnd"/>
      <w:r w:rsidR="007B03C1">
        <w:rPr>
          <w:szCs w:val="20"/>
        </w:rPr>
        <w:t xml:space="preserve">: </w:t>
      </w:r>
      <w:r w:rsidR="007B03C1" w:rsidRPr="007B03C1">
        <w:rPr>
          <w:szCs w:val="20"/>
        </w:rPr>
        <w:t>10.1016/j.jhealeco.2007.06.002</w:t>
      </w:r>
    </w:p>
    <w:p w14:paraId="1DD5A935" w14:textId="77777777" w:rsidR="00B87E77" w:rsidRDefault="00CE0A1B" w:rsidP="00F4745F">
      <w:pPr>
        <w:spacing w:line="360" w:lineRule="auto"/>
        <w:ind w:left="720" w:hanging="720"/>
        <w:rPr>
          <w:szCs w:val="20"/>
        </w:rPr>
      </w:pPr>
      <w:r w:rsidRPr="007B03C1">
        <w:rPr>
          <w:szCs w:val="20"/>
        </w:rPr>
        <w:t xml:space="preserve">Boehm, J. K., &amp; Kubzansky, L. D. (2012). The heart's content: the association between positive psychological well-being and cardiovascular health. </w:t>
      </w:r>
      <w:r w:rsidRPr="007B03C1">
        <w:rPr>
          <w:i/>
          <w:iCs/>
          <w:szCs w:val="20"/>
        </w:rPr>
        <w:t>Psychological Bulletin, 138</w:t>
      </w:r>
      <w:r w:rsidRPr="007B03C1">
        <w:rPr>
          <w:szCs w:val="20"/>
        </w:rPr>
        <w:t>(4), 655-691.</w:t>
      </w:r>
      <w:r w:rsidR="007B03C1">
        <w:rPr>
          <w:szCs w:val="20"/>
        </w:rPr>
        <w:t xml:space="preserve"> </w:t>
      </w:r>
      <w:proofErr w:type="gramStart"/>
      <w:r w:rsidR="007B03C1">
        <w:rPr>
          <w:szCs w:val="20"/>
        </w:rPr>
        <w:t>doi</w:t>
      </w:r>
      <w:proofErr w:type="gramEnd"/>
      <w:r w:rsidR="007B03C1">
        <w:rPr>
          <w:szCs w:val="20"/>
        </w:rPr>
        <w:t xml:space="preserve">: </w:t>
      </w:r>
      <w:r w:rsidR="00B87E77" w:rsidRPr="007B03C1">
        <w:rPr>
          <w:szCs w:val="20"/>
        </w:rPr>
        <w:t>10.1037/a0027448</w:t>
      </w:r>
    </w:p>
    <w:p w14:paraId="6A273595" w14:textId="204BB5AA" w:rsidR="00407FF7" w:rsidRDefault="00407FF7" w:rsidP="00F4745F">
      <w:pPr>
        <w:spacing w:line="360" w:lineRule="auto"/>
        <w:ind w:left="720" w:hanging="720"/>
        <w:rPr>
          <w:szCs w:val="20"/>
        </w:rPr>
      </w:pPr>
      <w:r>
        <w:rPr>
          <w:szCs w:val="20"/>
        </w:rPr>
        <w:t xml:space="preserve">Canterbury Earthquake Recovery Authority. (2014). </w:t>
      </w:r>
      <w:r>
        <w:rPr>
          <w:i/>
          <w:szCs w:val="20"/>
        </w:rPr>
        <w:t xml:space="preserve">Youth wellbeing survey 2013. </w:t>
      </w:r>
      <w:r>
        <w:rPr>
          <w:szCs w:val="20"/>
        </w:rPr>
        <w:t xml:space="preserve">Retrieved from </w:t>
      </w:r>
      <w:r w:rsidR="00E76A92" w:rsidRPr="00E76A92">
        <w:rPr>
          <w:szCs w:val="20"/>
        </w:rPr>
        <w:t>http://cera.govt.nz/recovery-strategy/social/youth-wellbeing-survey</w:t>
      </w:r>
    </w:p>
    <w:p w14:paraId="3F3E1D3F" w14:textId="211C4E20" w:rsidR="00E76A92" w:rsidRPr="00407FF7" w:rsidRDefault="00E76A92" w:rsidP="00F4745F">
      <w:pPr>
        <w:spacing w:line="360" w:lineRule="auto"/>
        <w:ind w:left="720" w:hanging="720"/>
        <w:rPr>
          <w:szCs w:val="20"/>
        </w:rPr>
      </w:pPr>
      <w:r w:rsidRPr="00247888">
        <w:rPr>
          <w:noProof/>
          <w:szCs w:val="20"/>
        </w:rPr>
        <w:t xml:space="preserve">Christakis, N. A., &amp; Fowler, J. H. (2009). </w:t>
      </w:r>
      <w:r w:rsidRPr="00247888">
        <w:rPr>
          <w:i/>
          <w:noProof/>
          <w:szCs w:val="20"/>
        </w:rPr>
        <w:t>Connected: The surprising power of our social networks and how they shape our lives</w:t>
      </w:r>
      <w:r w:rsidRPr="00247888">
        <w:rPr>
          <w:noProof/>
          <w:szCs w:val="20"/>
        </w:rPr>
        <w:t>. New York: Little Brown.</w:t>
      </w:r>
    </w:p>
    <w:p w14:paraId="1AF7FB1C" w14:textId="30247EE5" w:rsidR="001331DD" w:rsidRPr="001331DD" w:rsidRDefault="001331DD" w:rsidP="00F4745F">
      <w:pPr>
        <w:spacing w:line="360" w:lineRule="auto"/>
        <w:ind w:left="720" w:hanging="720"/>
        <w:rPr>
          <w:szCs w:val="20"/>
        </w:rPr>
      </w:pPr>
      <w:r>
        <w:rPr>
          <w:szCs w:val="20"/>
        </w:rPr>
        <w:t xml:space="preserve">Clark, T. C., Fleming, T., Bullen, P., Denny, S., </w:t>
      </w:r>
      <w:proofErr w:type="spellStart"/>
      <w:r>
        <w:rPr>
          <w:szCs w:val="20"/>
        </w:rPr>
        <w:t>Crengle</w:t>
      </w:r>
      <w:proofErr w:type="spellEnd"/>
      <w:r>
        <w:rPr>
          <w:szCs w:val="20"/>
        </w:rPr>
        <w:t>, S., Dyson, B</w:t>
      </w:r>
      <w:proofErr w:type="gramStart"/>
      <w:r>
        <w:rPr>
          <w:szCs w:val="20"/>
        </w:rPr>
        <w:t>., …Utter</w:t>
      </w:r>
      <w:proofErr w:type="gramEnd"/>
      <w:r>
        <w:rPr>
          <w:szCs w:val="20"/>
        </w:rPr>
        <w:t xml:space="preserve">, J. (2013). </w:t>
      </w:r>
      <w:r>
        <w:rPr>
          <w:i/>
          <w:szCs w:val="20"/>
        </w:rPr>
        <w:t xml:space="preserve">Youth’12 overview: The health and wellbeing of New Zealand secondary school students in 2012. </w:t>
      </w:r>
      <w:r>
        <w:rPr>
          <w:szCs w:val="20"/>
        </w:rPr>
        <w:t xml:space="preserve">Retrieved from </w:t>
      </w:r>
      <w:r w:rsidRPr="001331DD">
        <w:rPr>
          <w:szCs w:val="20"/>
        </w:rPr>
        <w:t>https://www.fmhs.auckland.ac.nz/en/faculty/adolescent-health-research-group/publications-and-reports/publications-by-year.html#par_contentblock</w:t>
      </w:r>
    </w:p>
    <w:p w14:paraId="28C9060F" w14:textId="77777777" w:rsidR="007B03C1" w:rsidRDefault="001A2276" w:rsidP="00F4745F">
      <w:pPr>
        <w:spacing w:line="360" w:lineRule="auto"/>
        <w:ind w:left="720" w:hanging="720"/>
        <w:rPr>
          <w:szCs w:val="20"/>
        </w:rPr>
      </w:pPr>
      <w:r w:rsidRPr="007B03C1">
        <w:rPr>
          <w:szCs w:val="20"/>
        </w:rPr>
        <w:t xml:space="preserve">Cohen, S., Doyle, W. J., Turner, R. B., Alper, C. M., &amp; Skoner, D. P. (2003). Emotional style and susceptibility to the common cold. </w:t>
      </w:r>
      <w:r w:rsidRPr="007B03C1">
        <w:rPr>
          <w:i/>
          <w:iCs/>
          <w:szCs w:val="20"/>
        </w:rPr>
        <w:t>Psychosomatic medicine, 65</w:t>
      </w:r>
      <w:r w:rsidRPr="007B03C1">
        <w:rPr>
          <w:szCs w:val="20"/>
        </w:rPr>
        <w:t xml:space="preserve">(4), 652-657. </w:t>
      </w:r>
      <w:proofErr w:type="gramStart"/>
      <w:r w:rsidR="007B03C1">
        <w:rPr>
          <w:szCs w:val="20"/>
        </w:rPr>
        <w:t>doi</w:t>
      </w:r>
      <w:proofErr w:type="gramEnd"/>
      <w:r w:rsidR="007B03C1">
        <w:rPr>
          <w:szCs w:val="20"/>
        </w:rPr>
        <w:t>: 10.1097/01.PSY.0000077508.57784</w:t>
      </w:r>
    </w:p>
    <w:p w14:paraId="42FA42F1" w14:textId="77777777" w:rsidR="007C2D45" w:rsidRDefault="007C2D45" w:rsidP="00F4745F">
      <w:pPr>
        <w:spacing w:line="360" w:lineRule="auto"/>
        <w:ind w:left="720" w:hanging="720"/>
        <w:rPr>
          <w:rStyle w:val="slug-doi"/>
          <w:bCs/>
          <w:szCs w:val="20"/>
          <w:bdr w:val="none" w:sz="0" w:space="0" w:color="auto" w:frame="1"/>
          <w:shd w:val="clear" w:color="auto" w:fill="FFFFFF"/>
        </w:rPr>
      </w:pPr>
      <w:r w:rsidRPr="007B03C1">
        <w:rPr>
          <w:szCs w:val="20"/>
        </w:rPr>
        <w:t xml:space="preserve">Cohen, S., &amp; Pressman, S. D. (2006). Positive affect and health. </w:t>
      </w:r>
      <w:r w:rsidRPr="007B03C1">
        <w:rPr>
          <w:i/>
          <w:iCs/>
          <w:szCs w:val="20"/>
        </w:rPr>
        <w:t>Current Directions in Psychological Science, 15</w:t>
      </w:r>
      <w:r w:rsidRPr="007B03C1">
        <w:rPr>
          <w:szCs w:val="20"/>
        </w:rPr>
        <w:t xml:space="preserve">(3), 122-125. </w:t>
      </w:r>
      <w:proofErr w:type="gramStart"/>
      <w:r w:rsidRPr="007B03C1">
        <w:rPr>
          <w:bCs/>
          <w:szCs w:val="20"/>
          <w:shd w:val="clear" w:color="auto" w:fill="FFFFFF"/>
        </w:rPr>
        <w:t>doi</w:t>
      </w:r>
      <w:proofErr w:type="gramEnd"/>
      <w:r w:rsidRPr="007B03C1">
        <w:rPr>
          <w:bCs/>
          <w:szCs w:val="20"/>
          <w:shd w:val="clear" w:color="auto" w:fill="FFFFFF"/>
        </w:rPr>
        <w:t>:</w:t>
      </w:r>
      <w:r w:rsidRPr="007B03C1">
        <w:rPr>
          <w:rStyle w:val="apple-converted-space"/>
          <w:bCs/>
          <w:szCs w:val="20"/>
          <w:shd w:val="clear" w:color="auto" w:fill="FFFFFF"/>
        </w:rPr>
        <w:t> </w:t>
      </w:r>
      <w:r w:rsidRPr="007B03C1">
        <w:rPr>
          <w:rStyle w:val="slug-doi"/>
          <w:bCs/>
          <w:szCs w:val="20"/>
          <w:bdr w:val="none" w:sz="0" w:space="0" w:color="auto" w:frame="1"/>
          <w:shd w:val="clear" w:color="auto" w:fill="FFFFFF"/>
        </w:rPr>
        <w:t>10.1111/j.0963-7214.2006.00420.x</w:t>
      </w:r>
    </w:p>
    <w:p w14:paraId="29B7FDCD" w14:textId="2D5914D6" w:rsidR="00497DE6" w:rsidRPr="000D41CD" w:rsidRDefault="00497DE6" w:rsidP="00F4745F">
      <w:pPr>
        <w:spacing w:line="360" w:lineRule="auto"/>
        <w:ind w:left="720" w:hanging="720"/>
        <w:rPr>
          <w:rStyle w:val="slug-doi"/>
          <w:b/>
          <w:bCs/>
          <w:szCs w:val="20"/>
          <w:bdr w:val="none" w:sz="0" w:space="0" w:color="auto" w:frame="1"/>
          <w:shd w:val="clear" w:color="auto" w:fill="FFFFFF"/>
        </w:rPr>
      </w:pPr>
      <w:r>
        <w:rPr>
          <w:rStyle w:val="slug-doi"/>
          <w:bCs/>
          <w:szCs w:val="20"/>
          <w:bdr w:val="none" w:sz="0" w:space="0" w:color="auto" w:frame="1"/>
          <w:shd w:val="clear" w:color="auto" w:fill="FFFFFF"/>
        </w:rPr>
        <w:t>Crespo, C., Pryor, J., Kleeb, J., &amp; Jose, P. (2007).</w:t>
      </w:r>
      <w:r w:rsidR="000D41CD">
        <w:rPr>
          <w:rStyle w:val="slug-doi"/>
          <w:bCs/>
          <w:szCs w:val="20"/>
          <w:bdr w:val="none" w:sz="0" w:space="0" w:color="auto" w:frame="1"/>
          <w:shd w:val="clear" w:color="auto" w:fill="FFFFFF"/>
        </w:rPr>
        <w:t xml:space="preserve"> </w:t>
      </w:r>
      <w:r w:rsidR="000D41CD">
        <w:rPr>
          <w:rStyle w:val="slug-doi"/>
          <w:bCs/>
          <w:i/>
          <w:szCs w:val="20"/>
          <w:bdr w:val="none" w:sz="0" w:space="0" w:color="auto" w:frame="1"/>
          <w:shd w:val="clear" w:color="auto" w:fill="FFFFFF"/>
        </w:rPr>
        <w:t xml:space="preserve">Youth connectedness project: Methodology and dissemination strategies. </w:t>
      </w:r>
      <w:r w:rsidR="000D41CD">
        <w:rPr>
          <w:rStyle w:val="slug-doi"/>
          <w:bCs/>
          <w:szCs w:val="20"/>
          <w:bdr w:val="none" w:sz="0" w:space="0" w:color="auto" w:frame="1"/>
          <w:shd w:val="clear" w:color="auto" w:fill="FFFFFF"/>
        </w:rPr>
        <w:t xml:space="preserve">Retrieved from </w:t>
      </w:r>
      <w:r w:rsidR="000D41CD" w:rsidRPr="000D41CD">
        <w:rPr>
          <w:rStyle w:val="slug-doi"/>
          <w:bCs/>
          <w:szCs w:val="20"/>
          <w:bdr w:val="none" w:sz="0" w:space="0" w:color="auto" w:frame="1"/>
          <w:shd w:val="clear" w:color="auto" w:fill="FFFFFF"/>
        </w:rPr>
        <w:t>http://www.victoria.ac.nz/psyc/centres-and-institutes/mckenzie-centre/research/conference-presentations</w:t>
      </w:r>
    </w:p>
    <w:p w14:paraId="593A2A51" w14:textId="77777777" w:rsidR="007C2D45" w:rsidRPr="007B03C1" w:rsidRDefault="007C2D45" w:rsidP="00F4745F">
      <w:pPr>
        <w:spacing w:line="360" w:lineRule="auto"/>
        <w:ind w:left="720" w:hanging="720"/>
        <w:rPr>
          <w:szCs w:val="20"/>
        </w:rPr>
      </w:pPr>
      <w:r w:rsidRPr="007B03C1">
        <w:rPr>
          <w:szCs w:val="20"/>
        </w:rPr>
        <w:t xml:space="preserve">Danner, D. D., Snowdon, D. A., &amp; Friesen, W. V. (2001). Positive emotions in early life and longevity: findings from the nun study. </w:t>
      </w:r>
      <w:r w:rsidRPr="007B03C1">
        <w:rPr>
          <w:i/>
          <w:iCs/>
          <w:szCs w:val="20"/>
        </w:rPr>
        <w:t>Journal of personality and social psychology, 80</w:t>
      </w:r>
      <w:r w:rsidR="007B03C1">
        <w:rPr>
          <w:szCs w:val="20"/>
        </w:rPr>
        <w:t xml:space="preserve">(5), 804-813. </w:t>
      </w:r>
      <w:proofErr w:type="gramStart"/>
      <w:r w:rsidR="007B03C1">
        <w:rPr>
          <w:szCs w:val="20"/>
        </w:rPr>
        <w:t>doi</w:t>
      </w:r>
      <w:proofErr w:type="gramEnd"/>
      <w:r w:rsidR="007B03C1">
        <w:rPr>
          <w:szCs w:val="20"/>
        </w:rPr>
        <w:t xml:space="preserve">: </w:t>
      </w:r>
      <w:r w:rsidRPr="007B03C1">
        <w:rPr>
          <w:szCs w:val="20"/>
        </w:rPr>
        <w:t>10.1037/0022-3514.80.5.804</w:t>
      </w:r>
    </w:p>
    <w:p w14:paraId="27764449" w14:textId="77777777" w:rsidR="007C2D45" w:rsidRPr="003377AE" w:rsidRDefault="007B03C1" w:rsidP="00F4745F">
      <w:pPr>
        <w:spacing w:line="360" w:lineRule="auto"/>
        <w:ind w:left="720" w:hanging="720"/>
        <w:rPr>
          <w:szCs w:val="20"/>
        </w:rPr>
      </w:pPr>
      <w:r w:rsidRPr="00EA4018">
        <w:rPr>
          <w:szCs w:val="20"/>
        </w:rPr>
        <w:lastRenderedPageBreak/>
        <w:t xml:space="preserve">De Neve, J. </w:t>
      </w:r>
      <w:r w:rsidR="007C2D45" w:rsidRPr="00EA4018">
        <w:rPr>
          <w:szCs w:val="20"/>
        </w:rPr>
        <w:t xml:space="preserve">E., Diener, E., Tay, L., &amp; Xuereb, C. (2013) </w:t>
      </w:r>
      <w:proofErr w:type="gramStart"/>
      <w:r w:rsidR="007C2D45" w:rsidRPr="00EA4018">
        <w:rPr>
          <w:szCs w:val="20"/>
        </w:rPr>
        <w:t>The</w:t>
      </w:r>
      <w:proofErr w:type="gramEnd"/>
      <w:r w:rsidR="007C2D45" w:rsidRPr="00EA4018">
        <w:rPr>
          <w:szCs w:val="20"/>
        </w:rPr>
        <w:t xml:space="preserve"> objective benefits of subjective well-being. In Helliwell, J., Layard, R., &amp; Sachs, J., eds. World Happiness Report 2013. New York: UN Sustainable Development Solutions Network.</w:t>
      </w:r>
    </w:p>
    <w:p w14:paraId="7F267CB5" w14:textId="77777777" w:rsidR="00D153E0" w:rsidRDefault="00466CDA" w:rsidP="00F4745F">
      <w:pPr>
        <w:spacing w:line="360" w:lineRule="auto"/>
        <w:ind w:left="720" w:hanging="720"/>
        <w:rPr>
          <w:szCs w:val="20"/>
        </w:rPr>
      </w:pPr>
      <w:r w:rsidRPr="00466CDA">
        <w:rPr>
          <w:szCs w:val="20"/>
        </w:rPr>
        <w:t>De Neve, J.</w:t>
      </w:r>
      <w:r w:rsidR="007C2D45" w:rsidRPr="00466CDA">
        <w:rPr>
          <w:szCs w:val="20"/>
        </w:rPr>
        <w:t xml:space="preserve">E., &amp; Oswald, A. J. (2012). Estimating the influence of life satisfaction and positive affect on later income using sibling fixed effects. </w:t>
      </w:r>
      <w:r w:rsidR="007C2D45" w:rsidRPr="00466CDA">
        <w:rPr>
          <w:i/>
          <w:iCs/>
          <w:szCs w:val="20"/>
        </w:rPr>
        <w:t>Proceedings of the National Academy of Sciences, 109</w:t>
      </w:r>
      <w:r w:rsidR="00D153E0" w:rsidRPr="00466CDA">
        <w:rPr>
          <w:szCs w:val="20"/>
        </w:rPr>
        <w:t xml:space="preserve">(49), 19953-19958. </w:t>
      </w:r>
      <w:proofErr w:type="gramStart"/>
      <w:r w:rsidR="00D153E0" w:rsidRPr="00466CDA">
        <w:rPr>
          <w:szCs w:val="20"/>
        </w:rPr>
        <w:t>doi</w:t>
      </w:r>
      <w:proofErr w:type="gramEnd"/>
      <w:r w:rsidR="00D153E0" w:rsidRPr="00466CDA">
        <w:rPr>
          <w:szCs w:val="20"/>
        </w:rPr>
        <w:t xml:space="preserve">: </w:t>
      </w:r>
      <w:r w:rsidR="007C2D45" w:rsidRPr="00466CDA">
        <w:rPr>
          <w:szCs w:val="20"/>
        </w:rPr>
        <w:t>10.107</w:t>
      </w:r>
      <w:r w:rsidR="00D153E0" w:rsidRPr="00466CDA">
        <w:rPr>
          <w:szCs w:val="20"/>
        </w:rPr>
        <w:t>/pnas.1211437109</w:t>
      </w:r>
    </w:p>
    <w:p w14:paraId="028B23F1" w14:textId="77777777" w:rsidR="009202C6" w:rsidRPr="009202C6" w:rsidRDefault="009202C6" w:rsidP="00F4745F">
      <w:pPr>
        <w:spacing w:line="360" w:lineRule="auto"/>
        <w:ind w:left="720" w:hanging="720"/>
        <w:rPr>
          <w:szCs w:val="20"/>
        </w:rPr>
      </w:pPr>
      <w:r w:rsidRPr="009202C6">
        <w:rPr>
          <w:szCs w:val="20"/>
        </w:rPr>
        <w:t xml:space="preserve">Diener, E. (2000). Subjective well-being: The science of happiness and a proposal for a national index. </w:t>
      </w:r>
      <w:r w:rsidRPr="009202C6">
        <w:rPr>
          <w:i/>
          <w:iCs/>
          <w:szCs w:val="20"/>
        </w:rPr>
        <w:t>American Psychologist, 55</w:t>
      </w:r>
      <w:r>
        <w:rPr>
          <w:szCs w:val="20"/>
        </w:rPr>
        <w:t xml:space="preserve">(1), 34-43. </w:t>
      </w:r>
      <w:proofErr w:type="gramStart"/>
      <w:r>
        <w:rPr>
          <w:szCs w:val="20"/>
        </w:rPr>
        <w:t>doi</w:t>
      </w:r>
      <w:proofErr w:type="gramEnd"/>
      <w:r>
        <w:rPr>
          <w:szCs w:val="20"/>
        </w:rPr>
        <w:t>:</w:t>
      </w:r>
      <w:r w:rsidR="007E01E9">
        <w:rPr>
          <w:szCs w:val="20"/>
        </w:rPr>
        <w:t xml:space="preserve"> </w:t>
      </w:r>
      <w:r w:rsidR="007E01E9" w:rsidRPr="007E01E9">
        <w:rPr>
          <w:szCs w:val="20"/>
        </w:rPr>
        <w:t>10.1037/0003-066X.55.1.34</w:t>
      </w:r>
      <w:r w:rsidR="007E01E9" w:rsidRPr="009202C6">
        <w:rPr>
          <w:szCs w:val="20"/>
        </w:rPr>
        <w:t xml:space="preserve"> </w:t>
      </w:r>
    </w:p>
    <w:p w14:paraId="2EEE9584" w14:textId="77777777" w:rsidR="00D153E0" w:rsidRDefault="00D153E0" w:rsidP="00F4745F">
      <w:pPr>
        <w:spacing w:line="360" w:lineRule="auto"/>
        <w:ind w:left="720" w:hanging="720"/>
        <w:rPr>
          <w:szCs w:val="20"/>
          <w:shd w:val="clear" w:color="auto" w:fill="FFFFFF"/>
        </w:rPr>
      </w:pPr>
      <w:r w:rsidRPr="00466CDA">
        <w:rPr>
          <w:szCs w:val="20"/>
        </w:rPr>
        <w:t>Die</w:t>
      </w:r>
      <w:r w:rsidR="00466CDA">
        <w:rPr>
          <w:szCs w:val="20"/>
        </w:rPr>
        <w:t>ner, E. (2006). Guidelines for national indicators of s</w:t>
      </w:r>
      <w:r w:rsidRPr="00466CDA">
        <w:rPr>
          <w:szCs w:val="20"/>
        </w:rPr>
        <w:t>ubjective</w:t>
      </w:r>
      <w:r w:rsidR="00466CDA">
        <w:rPr>
          <w:szCs w:val="20"/>
        </w:rPr>
        <w:t xml:space="preserve"> well-being and ill-b</w:t>
      </w:r>
      <w:r w:rsidRPr="00466CDA">
        <w:rPr>
          <w:szCs w:val="20"/>
        </w:rPr>
        <w:t xml:space="preserve">eing. </w:t>
      </w:r>
      <w:r w:rsidRPr="00466CDA">
        <w:rPr>
          <w:i/>
          <w:szCs w:val="20"/>
        </w:rPr>
        <w:t>Applied Research in Quality of Life, 1</w:t>
      </w:r>
      <w:r w:rsidR="00466CDA">
        <w:rPr>
          <w:szCs w:val="20"/>
        </w:rPr>
        <w:t xml:space="preserve">(2), 151-157. </w:t>
      </w:r>
      <w:proofErr w:type="gramStart"/>
      <w:r w:rsidR="00466CDA">
        <w:rPr>
          <w:szCs w:val="20"/>
        </w:rPr>
        <w:t>d</w:t>
      </w:r>
      <w:r w:rsidRPr="00466CDA">
        <w:rPr>
          <w:szCs w:val="20"/>
        </w:rPr>
        <w:t>oi</w:t>
      </w:r>
      <w:proofErr w:type="gramEnd"/>
      <w:r w:rsidRPr="00466CDA">
        <w:rPr>
          <w:szCs w:val="20"/>
        </w:rPr>
        <w:t xml:space="preserve">: </w:t>
      </w:r>
      <w:r w:rsidRPr="00466CDA">
        <w:rPr>
          <w:szCs w:val="20"/>
          <w:shd w:val="clear" w:color="auto" w:fill="FFFFFF"/>
        </w:rPr>
        <w:t>10.1007/s11482-006-9007-x</w:t>
      </w:r>
    </w:p>
    <w:p w14:paraId="11EAAEF1" w14:textId="77777777" w:rsidR="00A63AC6" w:rsidRDefault="00A63AC6" w:rsidP="00F4745F">
      <w:pPr>
        <w:spacing w:line="360" w:lineRule="auto"/>
        <w:ind w:left="720" w:hanging="720"/>
        <w:rPr>
          <w:szCs w:val="20"/>
        </w:rPr>
      </w:pPr>
      <w:r w:rsidRPr="00466CDA">
        <w:rPr>
          <w:szCs w:val="20"/>
        </w:rPr>
        <w:t>Diener, E</w:t>
      </w:r>
      <w:r w:rsidR="00466CDA">
        <w:rPr>
          <w:szCs w:val="20"/>
        </w:rPr>
        <w:t>., &amp; Chan, M. Y. (2011). Happy people live longer: Subjective well-being contributes to health and l</w:t>
      </w:r>
      <w:r w:rsidRPr="00466CDA">
        <w:rPr>
          <w:szCs w:val="20"/>
        </w:rPr>
        <w:t xml:space="preserve">ongevity. </w:t>
      </w:r>
      <w:r w:rsidRPr="00466CDA">
        <w:rPr>
          <w:i/>
          <w:iCs/>
          <w:szCs w:val="20"/>
        </w:rPr>
        <w:t>Applied Psychology: Health &amp; Well-Being, 3</w:t>
      </w:r>
      <w:r w:rsidRPr="00466CDA">
        <w:rPr>
          <w:szCs w:val="20"/>
        </w:rPr>
        <w:t>(1), 1-43. doi:10.1111/j.1758-0854.2010.01045.x</w:t>
      </w:r>
    </w:p>
    <w:p w14:paraId="734610B1" w14:textId="77777777" w:rsidR="00032E43" w:rsidRDefault="00032E43" w:rsidP="00F4745F">
      <w:pPr>
        <w:spacing w:line="360" w:lineRule="auto"/>
        <w:ind w:left="720" w:hanging="720"/>
        <w:rPr>
          <w:szCs w:val="20"/>
          <w:shd w:val="clear" w:color="auto" w:fill="FFFFFF"/>
        </w:rPr>
      </w:pPr>
      <w:r>
        <w:rPr>
          <w:szCs w:val="20"/>
          <w:shd w:val="clear" w:color="auto" w:fill="FFFFFF"/>
        </w:rPr>
        <w:t xml:space="preserve">Diener, E., </w:t>
      </w:r>
      <w:proofErr w:type="gramStart"/>
      <w:r>
        <w:rPr>
          <w:szCs w:val="20"/>
          <w:shd w:val="clear" w:color="auto" w:fill="FFFFFF"/>
        </w:rPr>
        <w:t>Lucas.,</w:t>
      </w:r>
      <w:proofErr w:type="gramEnd"/>
      <w:r>
        <w:rPr>
          <w:szCs w:val="20"/>
          <w:shd w:val="clear" w:color="auto" w:fill="FFFFFF"/>
        </w:rPr>
        <w:t xml:space="preserve"> R., Schimmack, U., &amp; Helliwell, J. (2009). </w:t>
      </w:r>
      <w:r>
        <w:rPr>
          <w:i/>
          <w:szCs w:val="20"/>
          <w:shd w:val="clear" w:color="auto" w:fill="FFFFFF"/>
        </w:rPr>
        <w:t xml:space="preserve">Well-being for public policy. </w:t>
      </w:r>
      <w:r>
        <w:rPr>
          <w:szCs w:val="20"/>
          <w:shd w:val="clear" w:color="auto" w:fill="FFFFFF"/>
        </w:rPr>
        <w:t>New York: New York: Oxford University Press, Inc.</w:t>
      </w:r>
    </w:p>
    <w:p w14:paraId="61FB3888" w14:textId="77777777" w:rsidR="00032E43" w:rsidRPr="00032E43" w:rsidRDefault="00032E43" w:rsidP="00F4745F">
      <w:pPr>
        <w:spacing w:line="360" w:lineRule="auto"/>
        <w:ind w:left="720" w:hanging="720"/>
        <w:rPr>
          <w:szCs w:val="20"/>
        </w:rPr>
      </w:pPr>
      <w:r w:rsidRPr="00032E43">
        <w:rPr>
          <w:szCs w:val="20"/>
        </w:rPr>
        <w:t xml:space="preserve">Diener, E., Oishi, S., &amp; Lucas, R. E. (2015). National accounts of subjective well-being. </w:t>
      </w:r>
      <w:r w:rsidRPr="00032E43">
        <w:rPr>
          <w:i/>
          <w:iCs/>
          <w:szCs w:val="20"/>
        </w:rPr>
        <w:t>American Psychologist, 70</w:t>
      </w:r>
      <w:r>
        <w:rPr>
          <w:szCs w:val="20"/>
        </w:rPr>
        <w:t xml:space="preserve">(3), 234-242. </w:t>
      </w:r>
      <w:proofErr w:type="gramStart"/>
      <w:r w:rsidR="00C15A15">
        <w:rPr>
          <w:szCs w:val="20"/>
        </w:rPr>
        <w:t>doi</w:t>
      </w:r>
      <w:proofErr w:type="gramEnd"/>
      <w:r w:rsidR="00C15A15">
        <w:rPr>
          <w:szCs w:val="20"/>
        </w:rPr>
        <w:t xml:space="preserve">: </w:t>
      </w:r>
      <w:r w:rsidR="00C15A15" w:rsidRPr="00C15A15">
        <w:rPr>
          <w:szCs w:val="20"/>
        </w:rPr>
        <w:t>10.1037/a0038899</w:t>
      </w:r>
    </w:p>
    <w:p w14:paraId="7DB49856" w14:textId="77777777" w:rsidR="00A63AC6" w:rsidRDefault="00A63AC6" w:rsidP="00F4745F">
      <w:pPr>
        <w:spacing w:line="360" w:lineRule="auto"/>
        <w:ind w:left="720" w:hanging="720"/>
        <w:rPr>
          <w:szCs w:val="20"/>
        </w:rPr>
      </w:pPr>
      <w:r w:rsidRPr="00466CDA">
        <w:rPr>
          <w:szCs w:val="20"/>
        </w:rPr>
        <w:t xml:space="preserve">Diener, E., &amp; Seligman, M. E. P. (2004). Beyond Money. </w:t>
      </w:r>
      <w:r w:rsidRPr="00466CDA">
        <w:rPr>
          <w:i/>
          <w:iCs/>
          <w:szCs w:val="20"/>
        </w:rPr>
        <w:t xml:space="preserve">Psychological Science in the </w:t>
      </w:r>
      <w:r w:rsidR="0003589C">
        <w:rPr>
          <w:i/>
          <w:iCs/>
          <w:szCs w:val="20"/>
        </w:rPr>
        <w:t>Public Interest,</w:t>
      </w:r>
      <w:r w:rsidRPr="00466CDA">
        <w:rPr>
          <w:i/>
          <w:iCs/>
          <w:szCs w:val="20"/>
        </w:rPr>
        <w:t xml:space="preserve"> 5</w:t>
      </w:r>
      <w:r w:rsidRPr="00466CDA">
        <w:rPr>
          <w:szCs w:val="20"/>
        </w:rPr>
        <w:t xml:space="preserve">(1), 1-31. </w:t>
      </w:r>
      <w:proofErr w:type="gramStart"/>
      <w:r w:rsidRPr="00466CDA">
        <w:rPr>
          <w:szCs w:val="20"/>
        </w:rPr>
        <w:t>doi</w:t>
      </w:r>
      <w:proofErr w:type="gramEnd"/>
      <w:r w:rsidRPr="00466CDA">
        <w:rPr>
          <w:szCs w:val="20"/>
        </w:rPr>
        <w:t>: 10.1111/j.0963-7214.2004.00501001.x</w:t>
      </w:r>
    </w:p>
    <w:p w14:paraId="144520C4" w14:textId="3A0DBC3F" w:rsidR="00537D59" w:rsidRDefault="00537D59" w:rsidP="00F4745F">
      <w:pPr>
        <w:spacing w:line="360" w:lineRule="auto"/>
        <w:ind w:left="720" w:hanging="720"/>
        <w:rPr>
          <w:szCs w:val="20"/>
        </w:rPr>
      </w:pPr>
      <w:r>
        <w:rPr>
          <w:szCs w:val="20"/>
        </w:rPr>
        <w:t xml:space="preserve">European Social Survey. (n.d.). </w:t>
      </w:r>
      <w:r>
        <w:rPr>
          <w:i/>
          <w:szCs w:val="20"/>
        </w:rPr>
        <w:t xml:space="preserve">About ESS. </w:t>
      </w:r>
      <w:r>
        <w:rPr>
          <w:szCs w:val="20"/>
        </w:rPr>
        <w:t xml:space="preserve">Retrieved 28 January, 2016, from </w:t>
      </w:r>
      <w:r w:rsidR="00F36A1B" w:rsidRPr="00F36A1B">
        <w:rPr>
          <w:szCs w:val="20"/>
        </w:rPr>
        <w:t>http://www.europeansocialsurvey.org/about/index.html</w:t>
      </w:r>
    </w:p>
    <w:p w14:paraId="622C3621" w14:textId="4A63323D" w:rsidR="00F36A1B" w:rsidRPr="00F36A1B" w:rsidRDefault="00F36A1B" w:rsidP="00F4745F">
      <w:pPr>
        <w:spacing w:line="360" w:lineRule="auto"/>
        <w:ind w:left="720" w:hanging="720"/>
        <w:rPr>
          <w:szCs w:val="20"/>
        </w:rPr>
      </w:pPr>
      <w:r w:rsidRPr="00F36A1B">
        <w:rPr>
          <w:szCs w:val="20"/>
        </w:rPr>
        <w:t xml:space="preserve">Fergusson, D. M., &amp; Horwood, </w:t>
      </w:r>
      <w:r>
        <w:rPr>
          <w:szCs w:val="20"/>
        </w:rPr>
        <w:t>J. L. (2001). The Christchurch health and development s</w:t>
      </w:r>
      <w:r w:rsidRPr="00F36A1B">
        <w:rPr>
          <w:szCs w:val="20"/>
        </w:rPr>
        <w:t xml:space="preserve">tudy: review of findings on child and adolescent mental health. </w:t>
      </w:r>
      <w:r w:rsidRPr="00F36A1B">
        <w:rPr>
          <w:i/>
          <w:iCs/>
          <w:szCs w:val="20"/>
        </w:rPr>
        <w:t>Australian and New Zealand Journal of Psychiatry, 35</w:t>
      </w:r>
      <w:r w:rsidRPr="00F36A1B">
        <w:rPr>
          <w:szCs w:val="20"/>
        </w:rPr>
        <w:t>(3), 287-296.</w:t>
      </w:r>
      <w:r w:rsidR="00152143">
        <w:rPr>
          <w:szCs w:val="20"/>
        </w:rPr>
        <w:t xml:space="preserve"> </w:t>
      </w:r>
      <w:proofErr w:type="gramStart"/>
      <w:r w:rsidR="00152143">
        <w:rPr>
          <w:szCs w:val="20"/>
        </w:rPr>
        <w:t>doi</w:t>
      </w:r>
      <w:proofErr w:type="gramEnd"/>
      <w:r w:rsidR="00152143">
        <w:rPr>
          <w:szCs w:val="20"/>
        </w:rPr>
        <w:t xml:space="preserve">: </w:t>
      </w:r>
      <w:r w:rsidR="00152143" w:rsidRPr="00152143">
        <w:rPr>
          <w:color w:val="000000"/>
          <w:szCs w:val="20"/>
        </w:rPr>
        <w:t>10.1046/j.1440-1614.2001.00902.x</w:t>
      </w:r>
    </w:p>
    <w:p w14:paraId="3B06CD0E" w14:textId="77777777" w:rsidR="00A63AC6" w:rsidRDefault="00974685" w:rsidP="00F4745F">
      <w:pPr>
        <w:spacing w:line="360" w:lineRule="auto"/>
        <w:ind w:left="720" w:hanging="720"/>
        <w:rPr>
          <w:rStyle w:val="slug-doi"/>
          <w:bCs/>
          <w:szCs w:val="20"/>
          <w:bdr w:val="none" w:sz="0" w:space="0" w:color="auto" w:frame="1"/>
          <w:shd w:val="clear" w:color="auto" w:fill="FFFFFF"/>
        </w:rPr>
      </w:pPr>
      <w:r w:rsidRPr="00466CDA">
        <w:rPr>
          <w:szCs w:val="20"/>
        </w:rPr>
        <w:t xml:space="preserve">Forrest, R., &amp; Kearns, A. (2001). Social cohesion, social capital and the neighbourhood. </w:t>
      </w:r>
      <w:r w:rsidRPr="00466CDA">
        <w:rPr>
          <w:i/>
          <w:iCs/>
          <w:szCs w:val="20"/>
        </w:rPr>
        <w:t>Urban studies, 38</w:t>
      </w:r>
      <w:r w:rsidRPr="00466CDA">
        <w:rPr>
          <w:szCs w:val="20"/>
        </w:rPr>
        <w:t xml:space="preserve">(12), 2125-2143. </w:t>
      </w:r>
      <w:proofErr w:type="gramStart"/>
      <w:r w:rsidRPr="00466CDA">
        <w:rPr>
          <w:bCs/>
          <w:szCs w:val="20"/>
          <w:shd w:val="clear" w:color="auto" w:fill="FFFFFF"/>
        </w:rPr>
        <w:t>doi</w:t>
      </w:r>
      <w:proofErr w:type="gramEnd"/>
      <w:r w:rsidRPr="00466CDA">
        <w:rPr>
          <w:bCs/>
          <w:szCs w:val="20"/>
          <w:shd w:val="clear" w:color="auto" w:fill="FFFFFF"/>
        </w:rPr>
        <w:t>:</w:t>
      </w:r>
      <w:r w:rsidRPr="00466CDA">
        <w:rPr>
          <w:rStyle w:val="apple-converted-space"/>
          <w:bCs/>
          <w:szCs w:val="20"/>
          <w:shd w:val="clear" w:color="auto" w:fill="FFFFFF"/>
        </w:rPr>
        <w:t> </w:t>
      </w:r>
      <w:r w:rsidRPr="00466CDA">
        <w:rPr>
          <w:rStyle w:val="slug-doi"/>
          <w:bCs/>
          <w:szCs w:val="20"/>
          <w:bdr w:val="none" w:sz="0" w:space="0" w:color="auto" w:frame="1"/>
          <w:shd w:val="clear" w:color="auto" w:fill="FFFFFF"/>
        </w:rPr>
        <w:t>10.1080/00420980120087081</w:t>
      </w:r>
    </w:p>
    <w:p w14:paraId="0EF5615D" w14:textId="77777777" w:rsidR="00AC0504" w:rsidRDefault="00AC0504" w:rsidP="00F4745F">
      <w:pPr>
        <w:spacing w:line="360" w:lineRule="auto"/>
        <w:ind w:left="720" w:hanging="720"/>
        <w:rPr>
          <w:color w:val="000000"/>
          <w:szCs w:val="20"/>
        </w:rPr>
      </w:pPr>
      <w:r w:rsidRPr="00AC0504">
        <w:rPr>
          <w:szCs w:val="20"/>
        </w:rPr>
        <w:t xml:space="preserve">Fowers, B. J., Mollica, C. O., &amp; Procacci, E. N. (2010). Constitutive and instrumental goal orientations and their relations with eudaimonic and hedonic well-being. </w:t>
      </w:r>
      <w:r w:rsidRPr="00AC0504">
        <w:rPr>
          <w:i/>
          <w:iCs/>
          <w:szCs w:val="20"/>
        </w:rPr>
        <w:t>The Journal of Positive Psychology, 5</w:t>
      </w:r>
      <w:r w:rsidRPr="00AC0504">
        <w:rPr>
          <w:szCs w:val="20"/>
        </w:rPr>
        <w:t>(2), 139-153.</w:t>
      </w:r>
      <w:r>
        <w:rPr>
          <w:szCs w:val="20"/>
        </w:rPr>
        <w:t xml:space="preserve"> </w:t>
      </w:r>
      <w:proofErr w:type="gramStart"/>
      <w:r>
        <w:rPr>
          <w:rStyle w:val="slug-doi"/>
          <w:bCs/>
          <w:szCs w:val="20"/>
          <w:bdr w:val="none" w:sz="0" w:space="0" w:color="auto" w:frame="1"/>
          <w:shd w:val="clear" w:color="auto" w:fill="FFFFFF"/>
        </w:rPr>
        <w:t>doi</w:t>
      </w:r>
      <w:proofErr w:type="gramEnd"/>
      <w:r>
        <w:rPr>
          <w:rStyle w:val="slug-doi"/>
          <w:bCs/>
          <w:szCs w:val="20"/>
          <w:bdr w:val="none" w:sz="0" w:space="0" w:color="auto" w:frame="1"/>
          <w:shd w:val="clear" w:color="auto" w:fill="FFFFFF"/>
        </w:rPr>
        <w:t xml:space="preserve">: </w:t>
      </w:r>
      <w:r w:rsidRPr="00AC0504">
        <w:rPr>
          <w:color w:val="000000"/>
          <w:szCs w:val="20"/>
        </w:rPr>
        <w:t>10.1080/17439761003630045</w:t>
      </w:r>
    </w:p>
    <w:p w14:paraId="76A4E700" w14:textId="39E23647" w:rsidR="0096256C" w:rsidRDefault="0096256C" w:rsidP="00F4745F">
      <w:pPr>
        <w:spacing w:line="360" w:lineRule="auto"/>
        <w:ind w:left="720" w:hanging="720"/>
        <w:rPr>
          <w:color w:val="000000"/>
          <w:szCs w:val="20"/>
        </w:rPr>
      </w:pPr>
      <w:r>
        <w:rPr>
          <w:color w:val="000000"/>
          <w:szCs w:val="20"/>
        </w:rPr>
        <w:t xml:space="preserve">Gallup. (2016). </w:t>
      </w:r>
      <w:r>
        <w:rPr>
          <w:i/>
          <w:color w:val="000000"/>
          <w:szCs w:val="20"/>
        </w:rPr>
        <w:t xml:space="preserve">Gallup world poll. </w:t>
      </w:r>
      <w:r>
        <w:rPr>
          <w:color w:val="000000"/>
          <w:szCs w:val="20"/>
        </w:rPr>
        <w:t xml:space="preserve">Retrieved 28 January, 2016, from </w:t>
      </w:r>
      <w:r w:rsidR="003A5883" w:rsidRPr="003A5883">
        <w:rPr>
          <w:color w:val="000000"/>
          <w:szCs w:val="20"/>
        </w:rPr>
        <w:t>http://www.gallup.com/services/170945/world-poll.aspx</w:t>
      </w:r>
    </w:p>
    <w:p w14:paraId="63FAE089" w14:textId="754E2CD2" w:rsidR="003A5883" w:rsidRPr="0096256C" w:rsidRDefault="003A5883" w:rsidP="00F4745F">
      <w:pPr>
        <w:spacing w:line="360" w:lineRule="auto"/>
        <w:ind w:left="720" w:hanging="720"/>
        <w:rPr>
          <w:rStyle w:val="slug-doi"/>
          <w:bCs/>
          <w:szCs w:val="20"/>
          <w:bdr w:val="none" w:sz="0" w:space="0" w:color="auto" w:frame="1"/>
          <w:shd w:val="clear" w:color="auto" w:fill="FFFFFF"/>
        </w:rPr>
      </w:pPr>
      <w:r>
        <w:rPr>
          <w:rStyle w:val="slug-doi"/>
          <w:bCs/>
          <w:szCs w:val="20"/>
          <w:bdr w:val="none" w:sz="0" w:space="0" w:color="auto" w:frame="1"/>
          <w:shd w:val="clear" w:color="auto" w:fill="FFFFFF"/>
        </w:rPr>
        <w:t xml:space="preserve">Gallup. (2014). Worldwide research methodology and codebook. </w:t>
      </w:r>
    </w:p>
    <w:p w14:paraId="2F3EF060" w14:textId="77777777" w:rsidR="00D153E0" w:rsidRDefault="00B85F22" w:rsidP="00F4745F">
      <w:pPr>
        <w:spacing w:line="360" w:lineRule="auto"/>
        <w:ind w:left="720" w:hanging="720"/>
        <w:rPr>
          <w:szCs w:val="20"/>
          <w:shd w:val="clear" w:color="auto" w:fill="FFFFFF"/>
        </w:rPr>
      </w:pPr>
      <w:r w:rsidRPr="00466CDA">
        <w:rPr>
          <w:szCs w:val="20"/>
        </w:rPr>
        <w:lastRenderedPageBreak/>
        <w:t xml:space="preserve">George, J. M. (1995). Leader positive mood and group performance: The case of customer service. </w:t>
      </w:r>
      <w:r w:rsidRPr="00466CDA">
        <w:rPr>
          <w:i/>
          <w:iCs/>
          <w:szCs w:val="20"/>
        </w:rPr>
        <w:t>Journal of Applied Social Psychology, 25</w:t>
      </w:r>
      <w:r w:rsidRPr="00466CDA">
        <w:rPr>
          <w:szCs w:val="20"/>
        </w:rPr>
        <w:t xml:space="preserve">(9), 778-794. </w:t>
      </w:r>
      <w:proofErr w:type="gramStart"/>
      <w:r w:rsidRPr="00466CDA">
        <w:rPr>
          <w:szCs w:val="20"/>
          <w:shd w:val="clear" w:color="auto" w:fill="FFFFFF"/>
        </w:rPr>
        <w:t>doi</w:t>
      </w:r>
      <w:proofErr w:type="gramEnd"/>
      <w:r w:rsidRPr="00466CDA">
        <w:rPr>
          <w:szCs w:val="20"/>
          <w:shd w:val="clear" w:color="auto" w:fill="FFFFFF"/>
        </w:rPr>
        <w:t>: 10.1111/j.1559-1816.1995.tb01775.x</w:t>
      </w:r>
    </w:p>
    <w:p w14:paraId="330A30DA" w14:textId="2900E1A1" w:rsidR="00AE60E9" w:rsidRPr="00466CDA" w:rsidRDefault="00AE60E9" w:rsidP="00F4745F">
      <w:pPr>
        <w:spacing w:line="360" w:lineRule="auto"/>
        <w:ind w:left="720" w:hanging="720"/>
        <w:rPr>
          <w:szCs w:val="20"/>
          <w:shd w:val="clear" w:color="auto" w:fill="FFFFFF"/>
        </w:rPr>
      </w:pPr>
      <w:r w:rsidRPr="00247888">
        <w:rPr>
          <w:noProof/>
          <w:szCs w:val="20"/>
        </w:rPr>
        <w:t xml:space="preserve">Graham, C. (2009). </w:t>
      </w:r>
      <w:r w:rsidRPr="00247888">
        <w:rPr>
          <w:i/>
          <w:noProof/>
          <w:szCs w:val="20"/>
        </w:rPr>
        <w:t>The paradox of happy peasants and miserable millionaires</w:t>
      </w:r>
      <w:r w:rsidRPr="00247888">
        <w:rPr>
          <w:noProof/>
          <w:szCs w:val="20"/>
        </w:rPr>
        <w:t>. Oxford: Oxford University Press.</w:t>
      </w:r>
    </w:p>
    <w:p w14:paraId="1C9852A4" w14:textId="77777777" w:rsidR="00B85F22" w:rsidRPr="00466CDA" w:rsidRDefault="00B85F22" w:rsidP="00F4745F">
      <w:pPr>
        <w:spacing w:line="360" w:lineRule="auto"/>
        <w:ind w:left="720" w:hanging="720"/>
        <w:rPr>
          <w:szCs w:val="20"/>
          <w:shd w:val="clear" w:color="auto" w:fill="FFFFFF"/>
        </w:rPr>
      </w:pPr>
      <w:r w:rsidRPr="00466CDA">
        <w:rPr>
          <w:szCs w:val="20"/>
        </w:rPr>
        <w:t>Green, J. D., Sedikides, C., Saltzberg, J. A., Wood, J. V., &amp; Forzano, L. A. B. (2003). Happy mood decreases self</w:t>
      </w:r>
      <w:r w:rsidRPr="00466CDA">
        <w:rPr>
          <w:rFonts w:ascii="Cambria Math" w:hAnsi="Cambria Math" w:cs="Cambria Math"/>
          <w:szCs w:val="20"/>
        </w:rPr>
        <w:t>‐</w:t>
      </w:r>
      <w:r w:rsidRPr="00466CDA">
        <w:rPr>
          <w:szCs w:val="20"/>
        </w:rPr>
        <w:t xml:space="preserve">focused attention. </w:t>
      </w:r>
      <w:r w:rsidRPr="00466CDA">
        <w:rPr>
          <w:i/>
          <w:iCs/>
          <w:szCs w:val="20"/>
        </w:rPr>
        <w:t>British Journal of Social Psychology, 42</w:t>
      </w:r>
      <w:r w:rsidRPr="00466CDA">
        <w:rPr>
          <w:szCs w:val="20"/>
        </w:rPr>
        <w:t xml:space="preserve">(1), 147-157. </w:t>
      </w:r>
      <w:proofErr w:type="gramStart"/>
      <w:r w:rsidRPr="00466CDA">
        <w:rPr>
          <w:szCs w:val="20"/>
          <w:shd w:val="clear" w:color="auto" w:fill="FFFFFF"/>
        </w:rPr>
        <w:t>doi</w:t>
      </w:r>
      <w:proofErr w:type="gramEnd"/>
      <w:r w:rsidRPr="00466CDA">
        <w:rPr>
          <w:szCs w:val="20"/>
          <w:shd w:val="clear" w:color="auto" w:fill="FFFFFF"/>
        </w:rPr>
        <w:t>: 10.1348/014466603763276171</w:t>
      </w:r>
    </w:p>
    <w:p w14:paraId="1AA72729" w14:textId="77777777" w:rsidR="00B85F22" w:rsidRDefault="007B6C16" w:rsidP="00F4745F">
      <w:pPr>
        <w:spacing w:line="360" w:lineRule="auto"/>
        <w:ind w:left="720" w:hanging="720"/>
        <w:rPr>
          <w:szCs w:val="20"/>
        </w:rPr>
      </w:pPr>
      <w:proofErr w:type="spellStart"/>
      <w:r w:rsidRPr="0094778B">
        <w:rPr>
          <w:szCs w:val="20"/>
        </w:rPr>
        <w:t>Huta</w:t>
      </w:r>
      <w:proofErr w:type="spellEnd"/>
      <w:r w:rsidRPr="0094778B">
        <w:rPr>
          <w:szCs w:val="20"/>
        </w:rPr>
        <w:t>, V., &amp; Waterman, A. S. (2013). E</w:t>
      </w:r>
      <w:r w:rsidR="0094778B">
        <w:rPr>
          <w:szCs w:val="20"/>
        </w:rPr>
        <w:t>udaimonia and its distinction from hedonia: Developing a classification and terminology for understanding conceptual and operational d</w:t>
      </w:r>
      <w:r w:rsidRPr="0094778B">
        <w:rPr>
          <w:szCs w:val="20"/>
        </w:rPr>
        <w:t xml:space="preserve">efinitions. </w:t>
      </w:r>
      <w:r w:rsidRPr="0094778B">
        <w:rPr>
          <w:i/>
          <w:iCs/>
          <w:szCs w:val="20"/>
        </w:rPr>
        <w:t>Journal of Happiness Studies, 15</w:t>
      </w:r>
      <w:r w:rsidRPr="0094778B">
        <w:rPr>
          <w:szCs w:val="20"/>
        </w:rPr>
        <w:t xml:space="preserve">(6), 1425-1456. </w:t>
      </w:r>
      <w:proofErr w:type="gramStart"/>
      <w:r w:rsidRPr="0094778B">
        <w:rPr>
          <w:szCs w:val="20"/>
        </w:rPr>
        <w:t>doi</w:t>
      </w:r>
      <w:proofErr w:type="gramEnd"/>
      <w:r w:rsidRPr="0094778B">
        <w:rPr>
          <w:szCs w:val="20"/>
        </w:rPr>
        <w:t>: 10.1007/s10902-013-9485-0</w:t>
      </w:r>
    </w:p>
    <w:p w14:paraId="1996119C" w14:textId="77777777" w:rsidR="009202C6" w:rsidRDefault="009202C6" w:rsidP="00F4745F">
      <w:pPr>
        <w:autoSpaceDE w:val="0"/>
        <w:autoSpaceDN w:val="0"/>
        <w:adjustRightInd w:val="0"/>
        <w:spacing w:after="0" w:line="360" w:lineRule="auto"/>
        <w:ind w:left="720" w:hanging="720"/>
        <w:rPr>
          <w:color w:val="000000"/>
        </w:rPr>
      </w:pPr>
      <w:r>
        <w:rPr>
          <w:color w:val="000000"/>
        </w:rPr>
        <w:t xml:space="preserve">Keyes, C. L. M. (2002). The mental health continuum: from languishing to flourishing in life. </w:t>
      </w:r>
      <w:r>
        <w:rPr>
          <w:i/>
          <w:iCs/>
          <w:color w:val="000000"/>
        </w:rPr>
        <w:t xml:space="preserve">Journal of Health and Social </w:t>
      </w:r>
      <w:proofErr w:type="spellStart"/>
      <w:r>
        <w:rPr>
          <w:i/>
          <w:iCs/>
          <w:color w:val="000000"/>
        </w:rPr>
        <w:t>Behavior</w:t>
      </w:r>
      <w:proofErr w:type="spellEnd"/>
      <w:r>
        <w:rPr>
          <w:i/>
          <w:iCs/>
          <w:color w:val="000000"/>
        </w:rPr>
        <w:t>, 43</w:t>
      </w:r>
      <w:r>
        <w:rPr>
          <w:color w:val="000000"/>
        </w:rPr>
        <w:t xml:space="preserve">(2), 207-222. </w:t>
      </w:r>
      <w:proofErr w:type="gramStart"/>
      <w:r>
        <w:rPr>
          <w:color w:val="000000"/>
        </w:rPr>
        <w:t>doi:</w:t>
      </w:r>
      <w:proofErr w:type="gramEnd"/>
      <w:r>
        <w:rPr>
          <w:color w:val="000000"/>
        </w:rPr>
        <w:t>10.2307/3090197</w:t>
      </w:r>
    </w:p>
    <w:p w14:paraId="2D2E4C9D" w14:textId="77777777" w:rsidR="00375C7F" w:rsidRDefault="00375C7F" w:rsidP="00F4745F">
      <w:pPr>
        <w:autoSpaceDE w:val="0"/>
        <w:autoSpaceDN w:val="0"/>
        <w:adjustRightInd w:val="0"/>
        <w:spacing w:after="0" w:line="360" w:lineRule="auto"/>
        <w:ind w:left="720" w:hanging="720"/>
        <w:rPr>
          <w:color w:val="000000"/>
        </w:rPr>
      </w:pPr>
    </w:p>
    <w:p w14:paraId="643DECB0" w14:textId="77777777" w:rsidR="00375C7F" w:rsidRPr="00375C7F" w:rsidRDefault="00375C7F" w:rsidP="00F4745F">
      <w:pPr>
        <w:autoSpaceDE w:val="0"/>
        <w:autoSpaceDN w:val="0"/>
        <w:adjustRightInd w:val="0"/>
        <w:spacing w:after="0" w:line="360" w:lineRule="auto"/>
        <w:ind w:left="720" w:hanging="720"/>
        <w:rPr>
          <w:color w:val="000000"/>
        </w:rPr>
      </w:pPr>
      <w:r>
        <w:t xml:space="preserve">Helliwell, J., Layard, R., &amp; Sachs, J. (2015). </w:t>
      </w:r>
      <w:r>
        <w:rPr>
          <w:i/>
        </w:rPr>
        <w:t xml:space="preserve">World Happiness Report 2015. </w:t>
      </w:r>
      <w:r>
        <w:t xml:space="preserve">Retrieved from </w:t>
      </w:r>
      <w:r w:rsidRPr="00375C7F">
        <w:t>http://worldhappiness.report/wp-content/uploads/sites/2/2015/04/WHR15_Sep15.pdf</w:t>
      </w:r>
    </w:p>
    <w:p w14:paraId="36AE0AFB" w14:textId="77777777" w:rsidR="009202C6" w:rsidRDefault="009202C6" w:rsidP="00F4745F">
      <w:pPr>
        <w:autoSpaceDE w:val="0"/>
        <w:autoSpaceDN w:val="0"/>
        <w:adjustRightInd w:val="0"/>
        <w:spacing w:after="0" w:line="360" w:lineRule="auto"/>
        <w:ind w:left="720" w:hanging="720"/>
        <w:rPr>
          <w:color w:val="000000"/>
        </w:rPr>
      </w:pPr>
    </w:p>
    <w:p w14:paraId="4DE8205D" w14:textId="77777777" w:rsidR="00010850" w:rsidRDefault="00010850" w:rsidP="00F4745F">
      <w:pPr>
        <w:autoSpaceDE w:val="0"/>
        <w:autoSpaceDN w:val="0"/>
        <w:adjustRightInd w:val="0"/>
        <w:spacing w:after="0" w:line="360" w:lineRule="auto"/>
        <w:ind w:left="720" w:hanging="720"/>
        <w:rPr>
          <w:rStyle w:val="slug-doi"/>
          <w:bCs/>
          <w:szCs w:val="20"/>
          <w:bdr w:val="none" w:sz="0" w:space="0" w:color="auto" w:frame="1"/>
          <w:shd w:val="clear" w:color="auto" w:fill="FFFFFF"/>
        </w:rPr>
      </w:pPr>
      <w:r w:rsidRPr="0094778B">
        <w:rPr>
          <w:szCs w:val="20"/>
        </w:rPr>
        <w:t xml:space="preserve">Luthans, F., &amp; Church, A. H. (2002). Positive organizational behaviour: Developing and managing psychological strengths. </w:t>
      </w:r>
      <w:r w:rsidRPr="0094778B">
        <w:rPr>
          <w:i/>
          <w:iCs/>
          <w:szCs w:val="20"/>
        </w:rPr>
        <w:t>The Academy of Management Executive, 16</w:t>
      </w:r>
      <w:r w:rsidRPr="0094778B">
        <w:rPr>
          <w:szCs w:val="20"/>
        </w:rPr>
        <w:t xml:space="preserve">(1), 57-75. </w:t>
      </w:r>
      <w:r w:rsidRPr="0094778B">
        <w:rPr>
          <w:bCs/>
          <w:szCs w:val="20"/>
          <w:shd w:val="clear" w:color="auto" w:fill="FFFFFF"/>
        </w:rPr>
        <w:t>doi:</w:t>
      </w:r>
      <w:r w:rsidRPr="0094778B">
        <w:rPr>
          <w:rStyle w:val="slug-doi"/>
          <w:bCs/>
          <w:szCs w:val="20"/>
          <w:bdr w:val="none" w:sz="0" w:space="0" w:color="auto" w:frame="1"/>
          <w:shd w:val="clear" w:color="auto" w:fill="FFFFFF"/>
        </w:rPr>
        <w:t>10.5465/AME.2002.6640181</w:t>
      </w:r>
    </w:p>
    <w:p w14:paraId="1A845A31" w14:textId="77777777" w:rsidR="006A7552" w:rsidRDefault="006A7552" w:rsidP="00F4745F">
      <w:pPr>
        <w:autoSpaceDE w:val="0"/>
        <w:autoSpaceDN w:val="0"/>
        <w:adjustRightInd w:val="0"/>
        <w:spacing w:after="0" w:line="360" w:lineRule="auto"/>
        <w:ind w:left="720" w:hanging="720"/>
        <w:rPr>
          <w:rStyle w:val="slug-doi"/>
          <w:bCs/>
          <w:szCs w:val="20"/>
          <w:bdr w:val="none" w:sz="0" w:space="0" w:color="auto" w:frame="1"/>
          <w:shd w:val="clear" w:color="auto" w:fill="FFFFFF"/>
        </w:rPr>
      </w:pPr>
    </w:p>
    <w:p w14:paraId="5D2E802D" w14:textId="404D4A28" w:rsidR="00010850" w:rsidRDefault="006A7552" w:rsidP="00F4745F">
      <w:pPr>
        <w:autoSpaceDE w:val="0"/>
        <w:autoSpaceDN w:val="0"/>
        <w:adjustRightInd w:val="0"/>
        <w:spacing w:after="0" w:line="360" w:lineRule="auto"/>
        <w:ind w:left="720" w:hanging="720"/>
        <w:rPr>
          <w:rStyle w:val="slug-doi"/>
          <w:bCs/>
          <w:szCs w:val="20"/>
          <w:bdr w:val="none" w:sz="0" w:space="0" w:color="auto" w:frame="1"/>
          <w:shd w:val="clear" w:color="auto" w:fill="FFFFFF"/>
        </w:rPr>
      </w:pPr>
      <w:r>
        <w:rPr>
          <w:rStyle w:val="slug-doi"/>
          <w:bCs/>
          <w:szCs w:val="20"/>
          <w:bdr w:val="none" w:sz="0" w:space="0" w:color="auto" w:frame="1"/>
          <w:shd w:val="clear" w:color="auto" w:fill="FFFFFF"/>
        </w:rPr>
        <w:t xml:space="preserve">Mackay, Prendergast, &amp; Jarden. (2015). </w:t>
      </w:r>
      <w:r>
        <w:rPr>
          <w:rStyle w:val="slug-doi"/>
          <w:bCs/>
          <w:i/>
          <w:szCs w:val="20"/>
          <w:bdr w:val="none" w:sz="0" w:space="0" w:color="auto" w:frame="1"/>
          <w:shd w:val="clear" w:color="auto" w:fill="FFFFFF"/>
        </w:rPr>
        <w:t xml:space="preserve">Sovereign wellbeing index: Methodology report wave 2, 2014. </w:t>
      </w:r>
      <w:r>
        <w:rPr>
          <w:rStyle w:val="slug-doi"/>
          <w:bCs/>
          <w:szCs w:val="20"/>
          <w:bdr w:val="none" w:sz="0" w:space="0" w:color="auto" w:frame="1"/>
          <w:shd w:val="clear" w:color="auto" w:fill="FFFFFF"/>
        </w:rPr>
        <w:t xml:space="preserve">Retrieved from </w:t>
      </w:r>
      <w:r w:rsidRPr="006A7552">
        <w:rPr>
          <w:rStyle w:val="slug-doi"/>
          <w:bCs/>
          <w:szCs w:val="20"/>
          <w:bdr w:val="none" w:sz="0" w:space="0" w:color="auto" w:frame="1"/>
          <w:shd w:val="clear" w:color="auto" w:fill="FFFFFF"/>
        </w:rPr>
        <w:t>www.mywellbeing.co.nz</w:t>
      </w:r>
    </w:p>
    <w:p w14:paraId="6284D2DB" w14:textId="77777777" w:rsidR="006A7552" w:rsidRPr="0094778B" w:rsidRDefault="006A7552" w:rsidP="00F4745F">
      <w:pPr>
        <w:autoSpaceDE w:val="0"/>
        <w:autoSpaceDN w:val="0"/>
        <w:adjustRightInd w:val="0"/>
        <w:spacing w:after="0" w:line="360" w:lineRule="auto"/>
        <w:ind w:left="720" w:hanging="720"/>
        <w:rPr>
          <w:rStyle w:val="slug-doi"/>
          <w:b/>
          <w:bCs/>
          <w:szCs w:val="20"/>
          <w:bdr w:val="none" w:sz="0" w:space="0" w:color="auto" w:frame="1"/>
          <w:shd w:val="clear" w:color="auto" w:fill="FFFFFF"/>
        </w:rPr>
      </w:pPr>
    </w:p>
    <w:p w14:paraId="5BF829DE" w14:textId="77777777" w:rsidR="00010850" w:rsidRDefault="00EF1E2A" w:rsidP="00F4745F">
      <w:pPr>
        <w:spacing w:line="360" w:lineRule="auto"/>
        <w:ind w:left="720" w:hanging="720"/>
        <w:rPr>
          <w:rStyle w:val="slug-doi"/>
          <w:bCs/>
          <w:szCs w:val="20"/>
          <w:bdr w:val="none" w:sz="0" w:space="0" w:color="auto" w:frame="1"/>
          <w:shd w:val="clear" w:color="auto" w:fill="FFFFFF"/>
        </w:rPr>
      </w:pPr>
      <w:r w:rsidRPr="0094778B">
        <w:rPr>
          <w:szCs w:val="20"/>
        </w:rPr>
        <w:t>Mehl, M. R., Vazire, S., Holleran, S. E., &amp; Clark, C. S. (2010). Eavesdropping on hap</w:t>
      </w:r>
      <w:r w:rsidR="0094778B">
        <w:rPr>
          <w:szCs w:val="20"/>
        </w:rPr>
        <w:t>piness: Well-b</w:t>
      </w:r>
      <w:r w:rsidRPr="0094778B">
        <w:rPr>
          <w:szCs w:val="20"/>
        </w:rPr>
        <w:t xml:space="preserve">eing is related to having less small talk and more substantive conversations. </w:t>
      </w:r>
      <w:r w:rsidRPr="0094778B">
        <w:rPr>
          <w:i/>
          <w:iCs/>
          <w:szCs w:val="20"/>
        </w:rPr>
        <w:t>Psychological Science</w:t>
      </w:r>
      <w:r w:rsidRPr="0094778B">
        <w:rPr>
          <w:szCs w:val="20"/>
        </w:rPr>
        <w:t xml:space="preserve">, </w:t>
      </w:r>
      <w:r w:rsidRPr="0094778B">
        <w:rPr>
          <w:i/>
          <w:szCs w:val="20"/>
        </w:rPr>
        <w:t>21</w:t>
      </w:r>
      <w:r w:rsidRPr="0094778B">
        <w:rPr>
          <w:szCs w:val="20"/>
        </w:rPr>
        <w:t xml:space="preserve">(4), 539-541. </w:t>
      </w:r>
      <w:proofErr w:type="gramStart"/>
      <w:r w:rsidRPr="0094778B">
        <w:rPr>
          <w:bCs/>
          <w:szCs w:val="20"/>
          <w:shd w:val="clear" w:color="auto" w:fill="FFFFFF"/>
        </w:rPr>
        <w:t>doi:</w:t>
      </w:r>
      <w:proofErr w:type="gramEnd"/>
      <w:r w:rsidRPr="0094778B">
        <w:rPr>
          <w:rStyle w:val="slug-doi"/>
          <w:bCs/>
          <w:szCs w:val="20"/>
          <w:bdr w:val="none" w:sz="0" w:space="0" w:color="auto" w:frame="1"/>
          <w:shd w:val="clear" w:color="auto" w:fill="FFFFFF"/>
        </w:rPr>
        <w:t>10.1177/0956797610362675</w:t>
      </w:r>
    </w:p>
    <w:p w14:paraId="024022C3" w14:textId="2C490CDF" w:rsidR="00522A22" w:rsidRPr="00EE2A20" w:rsidRDefault="007C7841" w:rsidP="00F4745F">
      <w:pPr>
        <w:spacing w:line="360" w:lineRule="auto"/>
        <w:ind w:left="720" w:hanging="720"/>
        <w:rPr>
          <w:rStyle w:val="slug-doi"/>
          <w:bCs/>
          <w:szCs w:val="20"/>
          <w:bdr w:val="none" w:sz="0" w:space="0" w:color="auto" w:frame="1"/>
          <w:shd w:val="clear" w:color="auto" w:fill="FFFFFF"/>
        </w:rPr>
      </w:pPr>
      <w:r>
        <w:rPr>
          <w:rStyle w:val="slug-doi"/>
          <w:bCs/>
          <w:szCs w:val="20"/>
          <w:bdr w:val="none" w:sz="0" w:space="0" w:color="auto" w:frame="1"/>
          <w:shd w:val="clear" w:color="auto" w:fill="FFFFFF"/>
        </w:rPr>
        <w:t xml:space="preserve">Michaelson, </w:t>
      </w:r>
      <w:r w:rsidR="00EE2A20">
        <w:rPr>
          <w:rStyle w:val="slug-doi"/>
          <w:bCs/>
          <w:szCs w:val="20"/>
          <w:bdr w:val="none" w:sz="0" w:space="0" w:color="auto" w:frame="1"/>
          <w:shd w:val="clear" w:color="auto" w:fill="FFFFFF"/>
        </w:rPr>
        <w:t xml:space="preserve">J., Mahony, S., &amp; Schifferes, J. (2012). </w:t>
      </w:r>
      <w:r w:rsidR="00EE2A20">
        <w:rPr>
          <w:rStyle w:val="slug-doi"/>
          <w:bCs/>
          <w:i/>
          <w:szCs w:val="20"/>
          <w:bdr w:val="none" w:sz="0" w:space="0" w:color="auto" w:frame="1"/>
          <w:shd w:val="clear" w:color="auto" w:fill="FFFFFF"/>
        </w:rPr>
        <w:t xml:space="preserve">Measuring well-being: A guide for practitioners. </w:t>
      </w:r>
      <w:r w:rsidR="00EE2A20">
        <w:rPr>
          <w:rStyle w:val="slug-doi"/>
          <w:bCs/>
          <w:szCs w:val="20"/>
          <w:bdr w:val="none" w:sz="0" w:space="0" w:color="auto" w:frame="1"/>
          <w:shd w:val="clear" w:color="auto" w:fill="FFFFFF"/>
        </w:rPr>
        <w:t>London: New Economics Foundation.</w:t>
      </w:r>
    </w:p>
    <w:p w14:paraId="5A6B1C96" w14:textId="404834BB" w:rsidR="00385209" w:rsidRDefault="00385209" w:rsidP="00F4745F">
      <w:pPr>
        <w:spacing w:line="360" w:lineRule="auto"/>
        <w:ind w:left="720" w:hanging="720"/>
        <w:rPr>
          <w:rStyle w:val="slug-doi"/>
          <w:bCs/>
          <w:szCs w:val="20"/>
          <w:bdr w:val="none" w:sz="0" w:space="0" w:color="auto" w:frame="1"/>
          <w:shd w:val="clear" w:color="auto" w:fill="FFFFFF"/>
        </w:rPr>
      </w:pPr>
      <w:r>
        <w:rPr>
          <w:rStyle w:val="slug-doi"/>
          <w:bCs/>
          <w:szCs w:val="20"/>
          <w:bdr w:val="none" w:sz="0" w:space="0" w:color="auto" w:frame="1"/>
          <w:shd w:val="clear" w:color="auto" w:fill="FFFFFF"/>
        </w:rPr>
        <w:t xml:space="preserve">Michaelson, J., Abdallah, S., Steuer, N., Thompson, S., &amp; Marks, N. (2009). </w:t>
      </w:r>
      <w:r w:rsidRPr="00413DFB">
        <w:rPr>
          <w:rStyle w:val="slug-doi"/>
          <w:bCs/>
          <w:i/>
          <w:szCs w:val="20"/>
          <w:bdr w:val="none" w:sz="0" w:space="0" w:color="auto" w:frame="1"/>
          <w:shd w:val="clear" w:color="auto" w:fill="FFFFFF"/>
        </w:rPr>
        <w:t>National accounts of wellbeing</w:t>
      </w:r>
      <w:r w:rsidR="00413DFB" w:rsidRPr="00413DFB">
        <w:rPr>
          <w:rStyle w:val="slug-doi"/>
          <w:bCs/>
          <w:i/>
          <w:szCs w:val="20"/>
          <w:bdr w:val="none" w:sz="0" w:space="0" w:color="auto" w:frame="1"/>
          <w:shd w:val="clear" w:color="auto" w:fill="FFFFFF"/>
        </w:rPr>
        <w:t>: bringing real wealth onto the balance sheet</w:t>
      </w:r>
      <w:r w:rsidR="00413DFB">
        <w:rPr>
          <w:rStyle w:val="slug-doi"/>
          <w:bCs/>
          <w:szCs w:val="20"/>
          <w:bdr w:val="none" w:sz="0" w:space="0" w:color="auto" w:frame="1"/>
          <w:shd w:val="clear" w:color="auto" w:fill="FFFFFF"/>
        </w:rPr>
        <w:t xml:space="preserve">. Retrieved from </w:t>
      </w:r>
      <w:r w:rsidR="00B039A4" w:rsidRPr="00B039A4">
        <w:rPr>
          <w:rStyle w:val="slug-doi"/>
          <w:bCs/>
          <w:szCs w:val="20"/>
          <w:bdr w:val="none" w:sz="0" w:space="0" w:color="auto" w:frame="1"/>
          <w:shd w:val="clear" w:color="auto" w:fill="FFFFFF"/>
        </w:rPr>
        <w:t>http://www.nationalaccountsofwellbeing.org/learn/download-report.html</w:t>
      </w:r>
    </w:p>
    <w:p w14:paraId="697017C5" w14:textId="28A15EA8" w:rsidR="00B039A4" w:rsidRPr="00B039A4" w:rsidRDefault="00B039A4" w:rsidP="00F4745F">
      <w:pPr>
        <w:spacing w:line="360" w:lineRule="auto"/>
        <w:ind w:left="720" w:hanging="720"/>
        <w:rPr>
          <w:rStyle w:val="slug-doi"/>
          <w:bCs/>
          <w:szCs w:val="20"/>
          <w:bdr w:val="none" w:sz="0" w:space="0" w:color="auto" w:frame="1"/>
          <w:shd w:val="clear" w:color="auto" w:fill="FFFFFF"/>
        </w:rPr>
      </w:pPr>
      <w:r>
        <w:rPr>
          <w:rStyle w:val="slug-doi"/>
          <w:bCs/>
          <w:szCs w:val="20"/>
          <w:bdr w:val="none" w:sz="0" w:space="0" w:color="auto" w:frame="1"/>
          <w:shd w:val="clear" w:color="auto" w:fill="FFFFFF"/>
        </w:rPr>
        <w:t xml:space="preserve">Ministry of Health. (2015). </w:t>
      </w:r>
      <w:r>
        <w:rPr>
          <w:rStyle w:val="slug-doi"/>
          <w:bCs/>
          <w:i/>
          <w:szCs w:val="20"/>
          <w:bdr w:val="none" w:sz="0" w:space="0" w:color="auto" w:frame="1"/>
          <w:shd w:val="clear" w:color="auto" w:fill="FFFFFF"/>
        </w:rPr>
        <w:t xml:space="preserve">Content guide 2014/15: New Zealand health survey. </w:t>
      </w:r>
      <w:r>
        <w:rPr>
          <w:rStyle w:val="slug-doi"/>
          <w:bCs/>
          <w:szCs w:val="20"/>
          <w:bdr w:val="none" w:sz="0" w:space="0" w:color="auto" w:frame="1"/>
          <w:shd w:val="clear" w:color="auto" w:fill="FFFFFF"/>
        </w:rPr>
        <w:t xml:space="preserve">Retrieved from </w:t>
      </w:r>
      <w:r w:rsidRPr="00B039A4">
        <w:rPr>
          <w:rStyle w:val="slug-doi"/>
          <w:bCs/>
          <w:szCs w:val="20"/>
          <w:bdr w:val="none" w:sz="0" w:space="0" w:color="auto" w:frame="1"/>
          <w:shd w:val="clear" w:color="auto" w:fill="FFFFFF"/>
        </w:rPr>
        <w:t>http://www.health.govt.nz/publication/questionnaires-and-content-guide-2014-15-new-zealand-health-survey</w:t>
      </w:r>
    </w:p>
    <w:p w14:paraId="0FBDE73C" w14:textId="26E8A9B6" w:rsidR="0070179D" w:rsidRDefault="0070179D" w:rsidP="00F4745F">
      <w:pPr>
        <w:spacing w:line="360" w:lineRule="auto"/>
        <w:ind w:left="720" w:hanging="720"/>
        <w:rPr>
          <w:rStyle w:val="slug-doi"/>
          <w:bCs/>
          <w:szCs w:val="20"/>
          <w:bdr w:val="none" w:sz="0" w:space="0" w:color="auto" w:frame="1"/>
          <w:shd w:val="clear" w:color="auto" w:fill="FFFFFF"/>
        </w:rPr>
      </w:pPr>
      <w:r>
        <w:rPr>
          <w:rStyle w:val="slug-doi"/>
          <w:bCs/>
          <w:szCs w:val="20"/>
          <w:bdr w:val="none" w:sz="0" w:space="0" w:color="auto" w:frame="1"/>
          <w:shd w:val="clear" w:color="auto" w:fill="FFFFFF"/>
        </w:rPr>
        <w:lastRenderedPageBreak/>
        <w:t xml:space="preserve">Ministry of Health. (2014). </w:t>
      </w:r>
      <w:r>
        <w:rPr>
          <w:rStyle w:val="slug-doi"/>
          <w:bCs/>
          <w:i/>
          <w:szCs w:val="20"/>
          <w:bdr w:val="none" w:sz="0" w:space="0" w:color="auto" w:frame="1"/>
          <w:shd w:val="clear" w:color="auto" w:fill="FFFFFF"/>
        </w:rPr>
        <w:t xml:space="preserve">New Zealand health survey adult questionnaire (year 4): 1 July 2014 – 30 June 2015. </w:t>
      </w:r>
      <w:r>
        <w:rPr>
          <w:rStyle w:val="slug-doi"/>
          <w:bCs/>
          <w:szCs w:val="20"/>
          <w:bdr w:val="none" w:sz="0" w:space="0" w:color="auto" w:frame="1"/>
          <w:shd w:val="clear" w:color="auto" w:fill="FFFFFF"/>
        </w:rPr>
        <w:t xml:space="preserve">Retrieved from </w:t>
      </w:r>
      <w:r w:rsidR="00CA3E67" w:rsidRPr="00CA3E67">
        <w:rPr>
          <w:rStyle w:val="slug-doi"/>
          <w:bCs/>
          <w:szCs w:val="20"/>
          <w:bdr w:val="none" w:sz="0" w:space="0" w:color="auto" w:frame="1"/>
          <w:shd w:val="clear" w:color="auto" w:fill="FFFFFF"/>
        </w:rPr>
        <w:t>http://www.health.govt.nz/publication/questionnaires-and-content-guide-2014-15-new-zealand-health-survey</w:t>
      </w:r>
    </w:p>
    <w:p w14:paraId="7A2EFE03" w14:textId="71548584" w:rsidR="00CA3E67" w:rsidRPr="00CA3E67" w:rsidRDefault="00CA3E67" w:rsidP="00F4745F">
      <w:pPr>
        <w:spacing w:line="360" w:lineRule="auto"/>
        <w:ind w:left="720" w:hanging="720"/>
        <w:rPr>
          <w:rStyle w:val="slug-doi"/>
          <w:bCs/>
          <w:szCs w:val="20"/>
          <w:bdr w:val="none" w:sz="0" w:space="0" w:color="auto" w:frame="1"/>
          <w:shd w:val="clear" w:color="auto" w:fill="FFFFFF"/>
        </w:rPr>
      </w:pPr>
      <w:r w:rsidRPr="00CA3E67">
        <w:rPr>
          <w:szCs w:val="20"/>
        </w:rPr>
        <w:t xml:space="preserve">Ministry of Social Development. (2010). </w:t>
      </w:r>
      <w:r w:rsidRPr="00CA3E67">
        <w:rPr>
          <w:i/>
          <w:iCs/>
          <w:szCs w:val="20"/>
        </w:rPr>
        <w:t xml:space="preserve">2010 The Social Report: </w:t>
      </w:r>
      <w:proofErr w:type="spellStart"/>
      <w:r w:rsidRPr="00CA3E67">
        <w:rPr>
          <w:i/>
          <w:iCs/>
          <w:szCs w:val="20"/>
        </w:rPr>
        <w:t>Te</w:t>
      </w:r>
      <w:proofErr w:type="spellEnd"/>
      <w:r w:rsidRPr="00CA3E67">
        <w:rPr>
          <w:i/>
          <w:iCs/>
          <w:szCs w:val="20"/>
        </w:rPr>
        <w:t xml:space="preserve"> </w:t>
      </w:r>
      <w:proofErr w:type="spellStart"/>
      <w:r w:rsidRPr="00CA3E67">
        <w:rPr>
          <w:i/>
          <w:iCs/>
          <w:szCs w:val="20"/>
        </w:rPr>
        <w:t>Pūrongo</w:t>
      </w:r>
      <w:proofErr w:type="spellEnd"/>
      <w:r w:rsidRPr="00CA3E67">
        <w:rPr>
          <w:i/>
          <w:iCs/>
          <w:szCs w:val="20"/>
        </w:rPr>
        <w:t xml:space="preserve"> </w:t>
      </w:r>
      <w:proofErr w:type="spellStart"/>
      <w:r w:rsidRPr="00CA3E67">
        <w:rPr>
          <w:i/>
          <w:iCs/>
          <w:szCs w:val="20"/>
        </w:rPr>
        <w:t>Oranga</w:t>
      </w:r>
      <w:proofErr w:type="spellEnd"/>
      <w:r w:rsidRPr="00CA3E67">
        <w:rPr>
          <w:i/>
          <w:iCs/>
          <w:szCs w:val="20"/>
        </w:rPr>
        <w:t xml:space="preserve"> </w:t>
      </w:r>
      <w:proofErr w:type="spellStart"/>
      <w:r w:rsidRPr="00CA3E67">
        <w:rPr>
          <w:i/>
          <w:iCs/>
          <w:szCs w:val="20"/>
        </w:rPr>
        <w:t>Tangata</w:t>
      </w:r>
      <w:proofErr w:type="spellEnd"/>
      <w:r>
        <w:rPr>
          <w:szCs w:val="20"/>
        </w:rPr>
        <w:t>. Wellington, New Zealand: Minis</w:t>
      </w:r>
      <w:r w:rsidRPr="00CA3E67">
        <w:rPr>
          <w:szCs w:val="20"/>
        </w:rPr>
        <w:t>try of Social Development. Retrieved from http://socialreport.msd.govt.nz/</w:t>
      </w:r>
    </w:p>
    <w:p w14:paraId="295E9396" w14:textId="6645FB7D" w:rsidR="006819D5" w:rsidRDefault="006819D5" w:rsidP="00F4745F">
      <w:pPr>
        <w:spacing w:line="360" w:lineRule="auto"/>
        <w:ind w:left="720" w:hanging="720"/>
        <w:rPr>
          <w:rStyle w:val="slug-doi"/>
          <w:bCs/>
          <w:szCs w:val="20"/>
          <w:bdr w:val="none" w:sz="0" w:space="0" w:color="auto" w:frame="1"/>
          <w:shd w:val="clear" w:color="auto" w:fill="FFFFFF"/>
        </w:rPr>
      </w:pPr>
      <w:r>
        <w:rPr>
          <w:rStyle w:val="slug-doi"/>
          <w:bCs/>
          <w:szCs w:val="20"/>
          <w:bdr w:val="none" w:sz="0" w:space="0" w:color="auto" w:frame="1"/>
          <w:shd w:val="clear" w:color="auto" w:fill="FFFFFF"/>
        </w:rPr>
        <w:t xml:space="preserve">Morton, </w:t>
      </w:r>
      <w:proofErr w:type="spellStart"/>
      <w:r>
        <w:rPr>
          <w:rStyle w:val="slug-doi"/>
          <w:bCs/>
          <w:szCs w:val="20"/>
          <w:bdr w:val="none" w:sz="0" w:space="0" w:color="auto" w:frame="1"/>
          <w:shd w:val="clear" w:color="auto" w:fill="FFFFFF"/>
        </w:rPr>
        <w:t>S.M.B</w:t>
      </w:r>
      <w:proofErr w:type="spellEnd"/>
      <w:r>
        <w:rPr>
          <w:rStyle w:val="slug-doi"/>
          <w:bCs/>
          <w:szCs w:val="20"/>
          <w:bdr w:val="none" w:sz="0" w:space="0" w:color="auto" w:frame="1"/>
          <w:shd w:val="clear" w:color="auto" w:fill="FFFFFF"/>
        </w:rPr>
        <w:t xml:space="preserve">., </w:t>
      </w:r>
      <w:proofErr w:type="spellStart"/>
      <w:r>
        <w:rPr>
          <w:rStyle w:val="slug-doi"/>
          <w:bCs/>
          <w:szCs w:val="20"/>
          <w:bdr w:val="none" w:sz="0" w:space="0" w:color="auto" w:frame="1"/>
          <w:shd w:val="clear" w:color="auto" w:fill="FFFFFF"/>
        </w:rPr>
        <w:t>Atatoa</w:t>
      </w:r>
      <w:proofErr w:type="spellEnd"/>
      <w:r>
        <w:rPr>
          <w:rStyle w:val="slug-doi"/>
          <w:bCs/>
          <w:szCs w:val="20"/>
          <w:bdr w:val="none" w:sz="0" w:space="0" w:color="auto" w:frame="1"/>
          <w:shd w:val="clear" w:color="auto" w:fill="FFFFFF"/>
        </w:rPr>
        <w:t xml:space="preserve"> </w:t>
      </w:r>
      <w:proofErr w:type="spellStart"/>
      <w:r>
        <w:rPr>
          <w:rStyle w:val="slug-doi"/>
          <w:bCs/>
          <w:szCs w:val="20"/>
          <w:bdr w:val="none" w:sz="0" w:space="0" w:color="auto" w:frame="1"/>
          <w:shd w:val="clear" w:color="auto" w:fill="FFFFFF"/>
        </w:rPr>
        <w:t>Carr</w:t>
      </w:r>
      <w:proofErr w:type="spellEnd"/>
      <w:r>
        <w:rPr>
          <w:rStyle w:val="slug-doi"/>
          <w:bCs/>
          <w:szCs w:val="20"/>
          <w:bdr w:val="none" w:sz="0" w:space="0" w:color="auto" w:frame="1"/>
          <w:shd w:val="clear" w:color="auto" w:fill="FFFFFF"/>
        </w:rPr>
        <w:t xml:space="preserve">, P.E., Grant, C. C., Berry, S. D., </w:t>
      </w:r>
      <w:proofErr w:type="spellStart"/>
      <w:r>
        <w:rPr>
          <w:rStyle w:val="slug-doi"/>
          <w:bCs/>
          <w:szCs w:val="20"/>
          <w:bdr w:val="none" w:sz="0" w:space="0" w:color="auto" w:frame="1"/>
          <w:shd w:val="clear" w:color="auto" w:fill="FFFFFF"/>
        </w:rPr>
        <w:t>Bandara</w:t>
      </w:r>
      <w:proofErr w:type="spellEnd"/>
      <w:r>
        <w:rPr>
          <w:rStyle w:val="slug-doi"/>
          <w:bCs/>
          <w:szCs w:val="20"/>
          <w:bdr w:val="none" w:sz="0" w:space="0" w:color="auto" w:frame="1"/>
          <w:shd w:val="clear" w:color="auto" w:fill="FFFFFF"/>
        </w:rPr>
        <w:t xml:space="preserve">, D. K., </w:t>
      </w:r>
      <w:proofErr w:type="spellStart"/>
      <w:r>
        <w:rPr>
          <w:rStyle w:val="slug-doi"/>
          <w:bCs/>
          <w:szCs w:val="20"/>
          <w:bdr w:val="none" w:sz="0" w:space="0" w:color="auto" w:frame="1"/>
          <w:shd w:val="clear" w:color="auto" w:fill="FFFFFF"/>
        </w:rPr>
        <w:t>Mohal</w:t>
      </w:r>
      <w:proofErr w:type="spellEnd"/>
      <w:r>
        <w:rPr>
          <w:rStyle w:val="slug-doi"/>
          <w:bCs/>
          <w:szCs w:val="20"/>
          <w:bdr w:val="none" w:sz="0" w:space="0" w:color="auto" w:frame="1"/>
          <w:shd w:val="clear" w:color="auto" w:fill="FFFFFF"/>
        </w:rPr>
        <w:t xml:space="preserve">, J., …Wall, C. R. (2014). </w:t>
      </w:r>
      <w:r>
        <w:rPr>
          <w:rStyle w:val="slug-doi"/>
          <w:bCs/>
          <w:i/>
          <w:szCs w:val="20"/>
          <w:bdr w:val="none" w:sz="0" w:space="0" w:color="auto" w:frame="1"/>
          <w:shd w:val="clear" w:color="auto" w:fill="FFFFFF"/>
        </w:rPr>
        <w:t xml:space="preserve">Growing up in New Zealand: A longitudinal study of New Zealand children and their families. Now we are two: Describing out first 1000 days. </w:t>
      </w:r>
      <w:r>
        <w:rPr>
          <w:rStyle w:val="slug-doi"/>
          <w:bCs/>
          <w:szCs w:val="20"/>
          <w:bdr w:val="none" w:sz="0" w:space="0" w:color="auto" w:frame="1"/>
          <w:shd w:val="clear" w:color="auto" w:fill="FFFFFF"/>
        </w:rPr>
        <w:t xml:space="preserve">Retrieved from </w:t>
      </w:r>
      <w:r w:rsidR="00B01445" w:rsidRPr="00B01445">
        <w:rPr>
          <w:rStyle w:val="slug-doi"/>
          <w:bCs/>
          <w:szCs w:val="20"/>
          <w:bdr w:val="none" w:sz="0" w:space="0" w:color="auto" w:frame="1"/>
          <w:shd w:val="clear" w:color="auto" w:fill="FFFFFF"/>
        </w:rPr>
        <w:t>http://www.growingup.co.nz/en/research-findings-impact/study-reports.html</w:t>
      </w:r>
    </w:p>
    <w:p w14:paraId="7D2681DD" w14:textId="59A61742" w:rsidR="00B01445" w:rsidRPr="00BA425B" w:rsidRDefault="00B01445" w:rsidP="00F4745F">
      <w:pPr>
        <w:spacing w:line="360" w:lineRule="auto"/>
        <w:ind w:left="720" w:hanging="720"/>
        <w:rPr>
          <w:rStyle w:val="slug-doi"/>
          <w:bCs/>
          <w:szCs w:val="20"/>
          <w:bdr w:val="none" w:sz="0" w:space="0" w:color="auto" w:frame="1"/>
          <w:shd w:val="clear" w:color="auto" w:fill="FFFFFF"/>
        </w:rPr>
      </w:pPr>
      <w:r w:rsidRPr="00B01445">
        <w:rPr>
          <w:szCs w:val="20"/>
        </w:rPr>
        <w:t xml:space="preserve">Muhajarine, N., </w:t>
      </w:r>
      <w:proofErr w:type="spellStart"/>
      <w:r w:rsidRPr="00B01445">
        <w:rPr>
          <w:szCs w:val="20"/>
        </w:rPr>
        <w:t>Labonte</w:t>
      </w:r>
      <w:proofErr w:type="spellEnd"/>
      <w:r w:rsidRPr="00B01445">
        <w:rPr>
          <w:szCs w:val="20"/>
        </w:rPr>
        <w:t xml:space="preserve">, R., &amp; </w:t>
      </w:r>
      <w:proofErr w:type="spellStart"/>
      <w:r w:rsidRPr="00B01445">
        <w:rPr>
          <w:szCs w:val="20"/>
        </w:rPr>
        <w:t>Winquist</w:t>
      </w:r>
      <w:proofErr w:type="spellEnd"/>
      <w:r w:rsidRPr="00B01445">
        <w:rPr>
          <w:szCs w:val="20"/>
        </w:rPr>
        <w:t xml:space="preserve">, B. D. (2012). The Canadian Index of Wellbeing: Key findings from the healthy </w:t>
      </w:r>
      <w:proofErr w:type="gramStart"/>
      <w:r w:rsidRPr="00B01445">
        <w:rPr>
          <w:szCs w:val="20"/>
        </w:rPr>
        <w:t>populations</w:t>
      </w:r>
      <w:proofErr w:type="gramEnd"/>
      <w:r w:rsidRPr="00B01445">
        <w:rPr>
          <w:szCs w:val="20"/>
        </w:rPr>
        <w:t xml:space="preserve"> domain. </w:t>
      </w:r>
      <w:r w:rsidRPr="00B01445">
        <w:rPr>
          <w:i/>
          <w:iCs/>
          <w:szCs w:val="20"/>
        </w:rPr>
        <w:t>Canadian Journal of Public Health, 103</w:t>
      </w:r>
      <w:r w:rsidRPr="00B01445">
        <w:rPr>
          <w:szCs w:val="20"/>
        </w:rPr>
        <w:t>(5), e342-347.</w:t>
      </w:r>
      <w:r>
        <w:rPr>
          <w:szCs w:val="20"/>
        </w:rPr>
        <w:t xml:space="preserve"> </w:t>
      </w:r>
      <w:proofErr w:type="gramStart"/>
      <w:r w:rsidR="00BA425B" w:rsidRPr="00BA425B">
        <w:rPr>
          <w:szCs w:val="20"/>
        </w:rPr>
        <w:t>doi</w:t>
      </w:r>
      <w:proofErr w:type="gramEnd"/>
      <w:r w:rsidR="00BA425B" w:rsidRPr="00BA425B">
        <w:rPr>
          <w:szCs w:val="20"/>
        </w:rPr>
        <w:t xml:space="preserve">: </w:t>
      </w:r>
      <w:r w:rsidR="00BA425B" w:rsidRPr="00BA425B">
        <w:rPr>
          <w:szCs w:val="20"/>
          <w:shd w:val="clear" w:color="auto" w:fill="FBFBF3"/>
        </w:rPr>
        <w:t>10.17269/cjph.103.3079</w:t>
      </w:r>
    </w:p>
    <w:p w14:paraId="5A3498C2" w14:textId="77777777" w:rsidR="00EF68D8" w:rsidRPr="00EF68D8" w:rsidRDefault="00EF68D8" w:rsidP="00F4745F">
      <w:pPr>
        <w:spacing w:line="360" w:lineRule="auto"/>
        <w:ind w:left="720" w:hanging="720"/>
        <w:rPr>
          <w:rStyle w:val="slug-doi"/>
          <w:bCs/>
          <w:szCs w:val="20"/>
          <w:bdr w:val="none" w:sz="0" w:space="0" w:color="auto" w:frame="1"/>
          <w:shd w:val="clear" w:color="auto" w:fill="FFFFFF"/>
        </w:rPr>
      </w:pPr>
      <w:r>
        <w:rPr>
          <w:rStyle w:val="slug-doi"/>
          <w:bCs/>
          <w:szCs w:val="20"/>
          <w:bdr w:val="none" w:sz="0" w:space="0" w:color="auto" w:frame="1"/>
          <w:shd w:val="clear" w:color="auto" w:fill="FFFFFF"/>
        </w:rPr>
        <w:t xml:space="preserve">New Economics Foundation. (2012). </w:t>
      </w:r>
      <w:proofErr w:type="gramStart"/>
      <w:r>
        <w:rPr>
          <w:rStyle w:val="slug-doi"/>
          <w:bCs/>
          <w:i/>
          <w:szCs w:val="20"/>
          <w:bdr w:val="none" w:sz="0" w:space="0" w:color="auto" w:frame="1"/>
          <w:shd w:val="clear" w:color="auto" w:fill="FFFFFF"/>
        </w:rPr>
        <w:t>The</w:t>
      </w:r>
      <w:proofErr w:type="gramEnd"/>
      <w:r>
        <w:rPr>
          <w:rStyle w:val="slug-doi"/>
          <w:bCs/>
          <w:i/>
          <w:szCs w:val="20"/>
          <w:bdr w:val="none" w:sz="0" w:space="0" w:color="auto" w:frame="1"/>
          <w:shd w:val="clear" w:color="auto" w:fill="FFFFFF"/>
        </w:rPr>
        <w:t xml:space="preserve"> happy planet index: 2012 report. </w:t>
      </w:r>
      <w:r>
        <w:rPr>
          <w:rStyle w:val="slug-doi"/>
          <w:bCs/>
          <w:szCs w:val="20"/>
          <w:bdr w:val="none" w:sz="0" w:space="0" w:color="auto" w:frame="1"/>
          <w:shd w:val="clear" w:color="auto" w:fill="FFFFFF"/>
        </w:rPr>
        <w:t xml:space="preserve">Retrieved from </w:t>
      </w:r>
      <w:r w:rsidRPr="00EF68D8">
        <w:rPr>
          <w:rStyle w:val="slug-doi"/>
          <w:bCs/>
          <w:szCs w:val="20"/>
          <w:bdr w:val="none" w:sz="0" w:space="0" w:color="auto" w:frame="1"/>
          <w:shd w:val="clear" w:color="auto" w:fill="FFFFFF"/>
        </w:rPr>
        <w:t>http://www.neweconomics.org/publications/entry/happy-planet-index-2012-report</w:t>
      </w:r>
    </w:p>
    <w:p w14:paraId="2ED52464" w14:textId="77777777" w:rsidR="002339B8" w:rsidRDefault="002339B8" w:rsidP="00F4745F">
      <w:pPr>
        <w:spacing w:line="360" w:lineRule="auto"/>
        <w:ind w:left="720" w:hanging="720"/>
        <w:rPr>
          <w:iCs/>
          <w:szCs w:val="20"/>
        </w:rPr>
      </w:pPr>
      <w:r>
        <w:rPr>
          <w:szCs w:val="20"/>
        </w:rPr>
        <w:t xml:space="preserve">OECD. (2013). </w:t>
      </w:r>
      <w:r w:rsidRPr="002339B8">
        <w:rPr>
          <w:i/>
          <w:iCs/>
          <w:szCs w:val="20"/>
        </w:rPr>
        <w:t>OECD Guidelines on Measuring Subjective Well-being</w:t>
      </w:r>
      <w:r w:rsidR="00BE4322">
        <w:rPr>
          <w:i/>
          <w:iCs/>
          <w:szCs w:val="20"/>
        </w:rPr>
        <w:t xml:space="preserve">: </w:t>
      </w:r>
      <w:r w:rsidR="00BE4322">
        <w:rPr>
          <w:iCs/>
          <w:szCs w:val="20"/>
        </w:rPr>
        <w:t>OECD Publishing.</w:t>
      </w:r>
      <w:r>
        <w:rPr>
          <w:i/>
          <w:iCs/>
          <w:szCs w:val="20"/>
        </w:rPr>
        <w:t xml:space="preserve"> </w:t>
      </w:r>
      <w:proofErr w:type="gramStart"/>
      <w:r>
        <w:rPr>
          <w:iCs/>
          <w:szCs w:val="20"/>
        </w:rPr>
        <w:t>doi</w:t>
      </w:r>
      <w:proofErr w:type="gramEnd"/>
      <w:r>
        <w:rPr>
          <w:iCs/>
          <w:szCs w:val="20"/>
        </w:rPr>
        <w:t>: 10.1787/9789264191655-en</w:t>
      </w:r>
    </w:p>
    <w:p w14:paraId="41E1E8F8" w14:textId="77777777" w:rsidR="004B49C6" w:rsidRPr="002339B8" w:rsidRDefault="004B49C6" w:rsidP="00F4745F">
      <w:pPr>
        <w:spacing w:line="360" w:lineRule="auto"/>
        <w:ind w:left="720" w:hanging="720"/>
        <w:rPr>
          <w:szCs w:val="20"/>
        </w:rPr>
      </w:pPr>
      <w:r w:rsidRPr="00EA4018">
        <w:rPr>
          <w:iCs/>
          <w:szCs w:val="20"/>
        </w:rPr>
        <w:t>Oswald, A.J., Proto, E., &amp; Sgroi, D. (2009). Happiness and productivity. University of Warwick, Manuscript submitted for publication.</w:t>
      </w:r>
    </w:p>
    <w:p w14:paraId="12B3475E" w14:textId="77777777" w:rsidR="00115554" w:rsidRDefault="0087259B" w:rsidP="00F4745F">
      <w:pPr>
        <w:spacing w:line="360" w:lineRule="auto"/>
        <w:ind w:left="720" w:hanging="720"/>
        <w:rPr>
          <w:szCs w:val="20"/>
          <w:shd w:val="clear" w:color="auto" w:fill="FFFFFF"/>
        </w:rPr>
      </w:pPr>
      <w:r w:rsidRPr="002339B8">
        <w:rPr>
          <w:szCs w:val="20"/>
        </w:rPr>
        <w:t xml:space="preserve">Peterson, C., Park, N., &amp; Seligman, M. E. (2005). Orientations to happiness and life satisfaction: The full life versus the empty life. </w:t>
      </w:r>
      <w:r w:rsidRPr="002339B8">
        <w:rPr>
          <w:i/>
          <w:iCs/>
          <w:szCs w:val="20"/>
        </w:rPr>
        <w:t>Journal of Happiness Studies, 6</w:t>
      </w:r>
      <w:r w:rsidRPr="002339B8">
        <w:rPr>
          <w:szCs w:val="20"/>
        </w:rPr>
        <w:t xml:space="preserve">(1), 25-41. </w:t>
      </w:r>
      <w:proofErr w:type="gramStart"/>
      <w:r w:rsidRPr="002339B8">
        <w:rPr>
          <w:szCs w:val="20"/>
        </w:rPr>
        <w:t>doi</w:t>
      </w:r>
      <w:proofErr w:type="gramEnd"/>
      <w:r w:rsidRPr="002339B8">
        <w:rPr>
          <w:szCs w:val="20"/>
        </w:rPr>
        <w:t xml:space="preserve">: </w:t>
      </w:r>
      <w:r w:rsidRPr="002339B8">
        <w:rPr>
          <w:szCs w:val="20"/>
          <w:shd w:val="clear" w:color="auto" w:fill="FFFFFF"/>
        </w:rPr>
        <w:t>10.1007/s10902-004-1278-z</w:t>
      </w:r>
    </w:p>
    <w:p w14:paraId="6BC7894F" w14:textId="789899A8" w:rsidR="00C4741A" w:rsidRPr="00C4741A" w:rsidRDefault="00C4741A" w:rsidP="00F4745F">
      <w:pPr>
        <w:spacing w:line="360" w:lineRule="auto"/>
        <w:ind w:left="720" w:hanging="720"/>
        <w:rPr>
          <w:szCs w:val="20"/>
          <w:shd w:val="clear" w:color="auto" w:fill="FFFFFF"/>
        </w:rPr>
      </w:pPr>
      <w:r>
        <w:rPr>
          <w:szCs w:val="20"/>
          <w:shd w:val="clear" w:color="auto" w:fill="FFFFFF"/>
        </w:rPr>
        <w:t xml:space="preserve">Quality of Life. (2014). </w:t>
      </w:r>
      <w:r>
        <w:rPr>
          <w:i/>
          <w:szCs w:val="20"/>
          <w:shd w:val="clear" w:color="auto" w:fill="FFFFFF"/>
        </w:rPr>
        <w:t xml:space="preserve">Quality of life survey 2014: Technical report. </w:t>
      </w:r>
      <w:r>
        <w:rPr>
          <w:szCs w:val="20"/>
          <w:shd w:val="clear" w:color="auto" w:fill="FFFFFF"/>
        </w:rPr>
        <w:t xml:space="preserve">Retrieved from </w:t>
      </w:r>
      <w:r w:rsidRPr="00C4741A">
        <w:rPr>
          <w:szCs w:val="20"/>
          <w:shd w:val="clear" w:color="auto" w:fill="FFFFFF"/>
        </w:rPr>
        <w:t>http://www.qualityoflifeproject.govt.nz/pdfs/2014/QoL-Tech-Report-2014.pdf</w:t>
      </w:r>
    </w:p>
    <w:p w14:paraId="02C58964" w14:textId="77777777" w:rsidR="0087259B" w:rsidRPr="002339B8" w:rsidRDefault="005A0DA6" w:rsidP="00F4745F">
      <w:pPr>
        <w:spacing w:line="360" w:lineRule="auto"/>
        <w:ind w:left="720" w:hanging="720"/>
        <w:rPr>
          <w:szCs w:val="20"/>
          <w:shd w:val="clear" w:color="auto" w:fill="FFFFFF"/>
        </w:rPr>
      </w:pPr>
      <w:r w:rsidRPr="002339B8">
        <w:rPr>
          <w:szCs w:val="20"/>
        </w:rPr>
        <w:t xml:space="preserve">Ryff, C. D., &amp; Singer, B. H. (2008). Know thyself and become what you are: A eudaimonic approach to psychological well-being. </w:t>
      </w:r>
      <w:r w:rsidRPr="002339B8">
        <w:rPr>
          <w:i/>
          <w:iCs/>
          <w:szCs w:val="20"/>
        </w:rPr>
        <w:t>Journal of Happiness Studies, 9</w:t>
      </w:r>
      <w:r w:rsidRPr="002339B8">
        <w:rPr>
          <w:szCs w:val="20"/>
        </w:rPr>
        <w:t xml:space="preserve">(1), 13-39. </w:t>
      </w:r>
      <w:proofErr w:type="gramStart"/>
      <w:r w:rsidRPr="002339B8">
        <w:rPr>
          <w:szCs w:val="20"/>
        </w:rPr>
        <w:t>doi</w:t>
      </w:r>
      <w:proofErr w:type="gramEnd"/>
      <w:r w:rsidRPr="002339B8">
        <w:rPr>
          <w:szCs w:val="20"/>
        </w:rPr>
        <w:t xml:space="preserve">: </w:t>
      </w:r>
      <w:r w:rsidRPr="002339B8">
        <w:rPr>
          <w:szCs w:val="20"/>
          <w:shd w:val="clear" w:color="auto" w:fill="FFFFFF"/>
        </w:rPr>
        <w:t>10.1007/s10902-006-9019-0</w:t>
      </w:r>
    </w:p>
    <w:p w14:paraId="6F346331" w14:textId="77777777" w:rsidR="005A0DA6" w:rsidRDefault="00FE2E13" w:rsidP="00F4745F">
      <w:pPr>
        <w:spacing w:line="360" w:lineRule="auto"/>
        <w:ind w:left="720" w:hanging="720"/>
        <w:rPr>
          <w:szCs w:val="20"/>
        </w:rPr>
      </w:pPr>
      <w:r>
        <w:rPr>
          <w:szCs w:val="20"/>
        </w:rPr>
        <w:t>Seligman, M</w:t>
      </w:r>
      <w:r w:rsidR="005A0DA6" w:rsidRPr="002339B8">
        <w:rPr>
          <w:szCs w:val="20"/>
        </w:rPr>
        <w:t xml:space="preserve">. (2008). Positive Health. </w:t>
      </w:r>
      <w:r w:rsidR="005A0DA6" w:rsidRPr="002339B8">
        <w:rPr>
          <w:i/>
          <w:iCs/>
          <w:szCs w:val="20"/>
        </w:rPr>
        <w:t>Applied Psychology, 57</w:t>
      </w:r>
      <w:r w:rsidR="005A0DA6" w:rsidRPr="002339B8">
        <w:rPr>
          <w:szCs w:val="20"/>
        </w:rPr>
        <w:t xml:space="preserve">, 3-18. </w:t>
      </w:r>
      <w:proofErr w:type="gramStart"/>
      <w:r w:rsidR="005A0DA6" w:rsidRPr="002339B8">
        <w:rPr>
          <w:szCs w:val="20"/>
        </w:rPr>
        <w:t>doi</w:t>
      </w:r>
      <w:proofErr w:type="gramEnd"/>
      <w:r w:rsidR="005A0DA6" w:rsidRPr="002339B8">
        <w:rPr>
          <w:szCs w:val="20"/>
        </w:rPr>
        <w:t>: 10.1111/j.1464-0597.2008.00351.x</w:t>
      </w:r>
    </w:p>
    <w:p w14:paraId="47CE52E7" w14:textId="77777777" w:rsidR="00FE2E13" w:rsidRDefault="00FE2E13" w:rsidP="00F4745F">
      <w:pPr>
        <w:spacing w:line="360" w:lineRule="auto"/>
        <w:ind w:left="720" w:hanging="720"/>
        <w:rPr>
          <w:szCs w:val="20"/>
        </w:rPr>
      </w:pPr>
      <w:r w:rsidRPr="00FE2E13">
        <w:rPr>
          <w:szCs w:val="20"/>
        </w:rPr>
        <w:t xml:space="preserve">Seligman, M., &amp; Csikszentmihalyi. (2000). Positive psychology: An introduction. </w:t>
      </w:r>
      <w:r w:rsidRPr="00FE2E13">
        <w:rPr>
          <w:i/>
          <w:szCs w:val="20"/>
        </w:rPr>
        <w:t>American Psychologist, 55</w:t>
      </w:r>
      <w:r w:rsidRPr="00FE2E13">
        <w:rPr>
          <w:szCs w:val="20"/>
        </w:rPr>
        <w:t xml:space="preserve">(1), 5-14. </w:t>
      </w:r>
      <w:proofErr w:type="gramStart"/>
      <w:r w:rsidRPr="00FE2E13">
        <w:rPr>
          <w:szCs w:val="20"/>
        </w:rPr>
        <w:t>doi</w:t>
      </w:r>
      <w:proofErr w:type="gramEnd"/>
      <w:r w:rsidRPr="00FE2E13">
        <w:rPr>
          <w:szCs w:val="20"/>
        </w:rPr>
        <w:t>: 10.1037/0003-066X.55.1.5</w:t>
      </w:r>
    </w:p>
    <w:p w14:paraId="356E456B" w14:textId="5F7738B8" w:rsidR="00902F8F" w:rsidRDefault="00902F8F" w:rsidP="00F4745F">
      <w:pPr>
        <w:spacing w:line="360" w:lineRule="auto"/>
        <w:ind w:left="720" w:hanging="720"/>
        <w:rPr>
          <w:szCs w:val="20"/>
        </w:rPr>
      </w:pPr>
      <w:r>
        <w:rPr>
          <w:szCs w:val="20"/>
        </w:rPr>
        <w:t xml:space="preserve">Sibley, C. G. (2014). </w:t>
      </w:r>
      <w:r>
        <w:rPr>
          <w:i/>
          <w:szCs w:val="20"/>
        </w:rPr>
        <w:t xml:space="preserve">Archive of NZAVS questionnaires. </w:t>
      </w:r>
      <w:r>
        <w:rPr>
          <w:szCs w:val="20"/>
        </w:rPr>
        <w:t xml:space="preserve">Retrieved from </w:t>
      </w:r>
      <w:r w:rsidRPr="00902F8F">
        <w:rPr>
          <w:szCs w:val="20"/>
        </w:rPr>
        <w:t>https://www.psych.auckland.ac.nz/en/about/our-research/research-groups/new-zealand-attitudes-and-values-study/nzavs-tech-docs.html</w:t>
      </w:r>
    </w:p>
    <w:p w14:paraId="17386529" w14:textId="55ABA9BD" w:rsidR="00902F8F" w:rsidRPr="00902F8F" w:rsidRDefault="00902F8F" w:rsidP="00F4745F">
      <w:pPr>
        <w:spacing w:line="360" w:lineRule="auto"/>
        <w:ind w:left="720" w:hanging="720"/>
        <w:rPr>
          <w:szCs w:val="20"/>
        </w:rPr>
      </w:pPr>
      <w:r>
        <w:rPr>
          <w:szCs w:val="20"/>
        </w:rPr>
        <w:lastRenderedPageBreak/>
        <w:t xml:space="preserve">Sibley, C. G. (2014). </w:t>
      </w:r>
      <w:r>
        <w:rPr>
          <w:i/>
          <w:szCs w:val="20"/>
        </w:rPr>
        <w:t xml:space="preserve">Sampling procedure and sample details for the New Zealand attitudes and values study. </w:t>
      </w:r>
      <w:r>
        <w:rPr>
          <w:szCs w:val="20"/>
        </w:rPr>
        <w:t xml:space="preserve">Retrieved from </w:t>
      </w:r>
      <w:r w:rsidRPr="00902F8F">
        <w:rPr>
          <w:szCs w:val="20"/>
        </w:rPr>
        <w:t>https://www.psych.auckland.ac.nz/en/about/our-research/research-groups/new-zealand-attitudes-and-values-study/nzavs-tech-docs.html</w:t>
      </w:r>
    </w:p>
    <w:p w14:paraId="514F3B50" w14:textId="650481E6" w:rsidR="00DA6B4A" w:rsidRDefault="00DA6B4A" w:rsidP="00F4745F">
      <w:pPr>
        <w:spacing w:line="360" w:lineRule="auto"/>
        <w:ind w:left="720" w:hanging="720"/>
        <w:rPr>
          <w:szCs w:val="20"/>
        </w:rPr>
      </w:pPr>
      <w:r>
        <w:rPr>
          <w:szCs w:val="20"/>
        </w:rPr>
        <w:t xml:space="preserve">Statistics New Zealand. (2015). </w:t>
      </w:r>
      <w:r>
        <w:rPr>
          <w:i/>
          <w:szCs w:val="20"/>
        </w:rPr>
        <w:t>A guide to good survey design (4</w:t>
      </w:r>
      <w:r w:rsidRPr="00DA6B4A">
        <w:rPr>
          <w:i/>
          <w:szCs w:val="20"/>
          <w:vertAlign w:val="superscript"/>
        </w:rPr>
        <w:t>th</w:t>
      </w:r>
      <w:r>
        <w:rPr>
          <w:i/>
          <w:szCs w:val="20"/>
        </w:rPr>
        <w:t xml:space="preserve"> </w:t>
      </w:r>
      <w:proofErr w:type="spellStart"/>
      <w:proofErr w:type="gramStart"/>
      <w:r>
        <w:rPr>
          <w:i/>
          <w:szCs w:val="20"/>
        </w:rPr>
        <w:t>ed</w:t>
      </w:r>
      <w:proofErr w:type="spellEnd"/>
      <w:proofErr w:type="gramEnd"/>
      <w:r>
        <w:rPr>
          <w:i/>
          <w:szCs w:val="20"/>
        </w:rPr>
        <w:t xml:space="preserve">). </w:t>
      </w:r>
      <w:r>
        <w:rPr>
          <w:szCs w:val="20"/>
        </w:rPr>
        <w:t xml:space="preserve">Retrieved 4 February, 2016, from </w:t>
      </w:r>
      <w:r w:rsidR="00930CFB" w:rsidRPr="00930CFB">
        <w:rPr>
          <w:szCs w:val="20"/>
        </w:rPr>
        <w:t>http://www.stats.govt.nz/methods/survey-design-data-collection/guide-to-good-survey-design.aspx</w:t>
      </w:r>
    </w:p>
    <w:p w14:paraId="2E6C539F" w14:textId="25CDC554" w:rsidR="00930CFB" w:rsidRDefault="00930CFB" w:rsidP="00F4745F">
      <w:pPr>
        <w:spacing w:line="360" w:lineRule="auto"/>
        <w:ind w:left="720" w:hanging="720"/>
        <w:rPr>
          <w:szCs w:val="20"/>
        </w:rPr>
      </w:pPr>
      <w:r>
        <w:rPr>
          <w:szCs w:val="20"/>
        </w:rPr>
        <w:t xml:space="preserve">Statistics New Zealand. (2013). </w:t>
      </w:r>
      <w:r w:rsidR="0065755C">
        <w:rPr>
          <w:i/>
          <w:szCs w:val="20"/>
        </w:rPr>
        <w:t>General social s</w:t>
      </w:r>
      <w:r>
        <w:rPr>
          <w:i/>
          <w:szCs w:val="20"/>
        </w:rPr>
        <w:t xml:space="preserve">urvey. </w:t>
      </w:r>
      <w:r>
        <w:rPr>
          <w:szCs w:val="20"/>
        </w:rPr>
        <w:t xml:space="preserve">Retrieved February 29, 2016 from </w:t>
      </w:r>
      <w:r w:rsidR="004F6EE5" w:rsidRPr="004F6EE5">
        <w:rPr>
          <w:szCs w:val="20"/>
        </w:rPr>
        <w:t>http://www.stats.govt.nz/survey-participants/a-z-of-our-surveys/general-social-survey.aspx</w:t>
      </w:r>
    </w:p>
    <w:p w14:paraId="17AD9826" w14:textId="54B094D6" w:rsidR="004F6EE5" w:rsidRPr="004F6EE5" w:rsidRDefault="004F6EE5" w:rsidP="00F4745F">
      <w:pPr>
        <w:spacing w:line="360" w:lineRule="auto"/>
        <w:ind w:left="720" w:hanging="720"/>
        <w:rPr>
          <w:szCs w:val="20"/>
        </w:rPr>
      </w:pPr>
      <w:r>
        <w:rPr>
          <w:szCs w:val="20"/>
        </w:rPr>
        <w:t xml:space="preserve">Statistics New Zealand. (2010). </w:t>
      </w:r>
      <w:proofErr w:type="gramStart"/>
      <w:r>
        <w:rPr>
          <w:i/>
          <w:szCs w:val="20"/>
        </w:rPr>
        <w:t>Longitudinal</w:t>
      </w:r>
      <w:proofErr w:type="gramEnd"/>
      <w:r>
        <w:rPr>
          <w:i/>
          <w:szCs w:val="20"/>
        </w:rPr>
        <w:t xml:space="preserve"> immigration survey: New Zealand – wave 3, 2009. </w:t>
      </w:r>
      <w:r>
        <w:rPr>
          <w:szCs w:val="20"/>
        </w:rPr>
        <w:t xml:space="preserve">Retrieved from </w:t>
      </w:r>
      <w:r w:rsidRPr="004F6EE5">
        <w:rPr>
          <w:szCs w:val="20"/>
        </w:rPr>
        <w:t>http://www.stats.govt.nz/browse_for_stats/population/Migration/LISNZ_HOTPWave3-2009.aspx</w:t>
      </w:r>
    </w:p>
    <w:p w14:paraId="57DDAB3B" w14:textId="1B93FE7B" w:rsidR="000811ED" w:rsidRDefault="000811ED" w:rsidP="00F4745F">
      <w:pPr>
        <w:spacing w:line="360" w:lineRule="auto"/>
        <w:ind w:left="720" w:hanging="720"/>
        <w:rPr>
          <w:szCs w:val="20"/>
        </w:rPr>
      </w:pPr>
      <w:r>
        <w:rPr>
          <w:szCs w:val="20"/>
        </w:rPr>
        <w:t xml:space="preserve">Statistics New Zealand. (2014). </w:t>
      </w:r>
      <w:r w:rsidR="0065755C">
        <w:rPr>
          <w:i/>
          <w:szCs w:val="20"/>
        </w:rPr>
        <w:t>New Zealand general social s</w:t>
      </w:r>
      <w:r>
        <w:rPr>
          <w:i/>
          <w:szCs w:val="20"/>
        </w:rPr>
        <w:t xml:space="preserve">urvey 2014. </w:t>
      </w:r>
      <w:r>
        <w:rPr>
          <w:szCs w:val="20"/>
        </w:rPr>
        <w:t xml:space="preserve">Retrieved from </w:t>
      </w:r>
      <w:r w:rsidR="003C4A73" w:rsidRPr="003C4A73">
        <w:rPr>
          <w:szCs w:val="20"/>
        </w:rPr>
        <w:t>http://www.stats.govt.nz/survey-participants/a-z-of-our-surveys/general-social-survey/nzgss-questionnaires.aspx</w:t>
      </w:r>
    </w:p>
    <w:p w14:paraId="5CF54E88" w14:textId="2D049C53" w:rsidR="003C4A73" w:rsidRPr="003C4A73" w:rsidRDefault="003C4A73" w:rsidP="00F4745F">
      <w:pPr>
        <w:spacing w:line="360" w:lineRule="auto"/>
        <w:ind w:left="720" w:hanging="720"/>
        <w:rPr>
          <w:szCs w:val="20"/>
        </w:rPr>
      </w:pPr>
      <w:r>
        <w:rPr>
          <w:szCs w:val="20"/>
        </w:rPr>
        <w:t xml:space="preserve">Statistics New Zealand. (2013). </w:t>
      </w:r>
      <w:proofErr w:type="spellStart"/>
      <w:r>
        <w:rPr>
          <w:i/>
          <w:szCs w:val="20"/>
        </w:rPr>
        <w:t>Te</w:t>
      </w:r>
      <w:proofErr w:type="spellEnd"/>
      <w:r>
        <w:rPr>
          <w:i/>
          <w:szCs w:val="20"/>
        </w:rPr>
        <w:t xml:space="preserve"> </w:t>
      </w:r>
      <w:proofErr w:type="spellStart"/>
      <w:r>
        <w:rPr>
          <w:i/>
          <w:szCs w:val="20"/>
        </w:rPr>
        <w:t>kupenga</w:t>
      </w:r>
      <w:proofErr w:type="spellEnd"/>
      <w:r>
        <w:rPr>
          <w:i/>
          <w:szCs w:val="20"/>
        </w:rPr>
        <w:t xml:space="preserve"> 2013. </w:t>
      </w:r>
      <w:r>
        <w:rPr>
          <w:szCs w:val="20"/>
        </w:rPr>
        <w:t xml:space="preserve">Retrieved from </w:t>
      </w:r>
      <w:r w:rsidRPr="003C4A73">
        <w:rPr>
          <w:szCs w:val="20"/>
        </w:rPr>
        <w:t>http://www.stats.govt.nz/browse_for_stats/people_and_communities/maori/TeKupenga_HOTP13.aspx</w:t>
      </w:r>
    </w:p>
    <w:p w14:paraId="2A82EABC" w14:textId="3D055D22" w:rsidR="0065755C" w:rsidRPr="0065755C" w:rsidRDefault="0065755C" w:rsidP="00F4745F">
      <w:pPr>
        <w:spacing w:line="360" w:lineRule="auto"/>
        <w:ind w:left="720" w:hanging="720"/>
        <w:rPr>
          <w:szCs w:val="20"/>
        </w:rPr>
      </w:pPr>
      <w:r>
        <w:rPr>
          <w:szCs w:val="20"/>
        </w:rPr>
        <w:t xml:space="preserve">Statistics New Zealand. (2013). </w:t>
      </w:r>
      <w:proofErr w:type="spellStart"/>
      <w:r>
        <w:rPr>
          <w:i/>
          <w:szCs w:val="20"/>
        </w:rPr>
        <w:t>Te</w:t>
      </w:r>
      <w:proofErr w:type="spellEnd"/>
      <w:r>
        <w:rPr>
          <w:i/>
          <w:szCs w:val="20"/>
        </w:rPr>
        <w:t xml:space="preserve"> </w:t>
      </w:r>
      <w:proofErr w:type="spellStart"/>
      <w:r>
        <w:rPr>
          <w:i/>
          <w:szCs w:val="20"/>
        </w:rPr>
        <w:t>kupenga</w:t>
      </w:r>
      <w:proofErr w:type="spellEnd"/>
      <w:r>
        <w:rPr>
          <w:i/>
          <w:szCs w:val="20"/>
        </w:rPr>
        <w:t xml:space="preserve"> 2013: A survey of Maori well-being.</w:t>
      </w:r>
      <w:r>
        <w:rPr>
          <w:szCs w:val="20"/>
        </w:rPr>
        <w:t xml:space="preserve"> Retrieved from </w:t>
      </w:r>
      <w:r w:rsidRPr="0065755C">
        <w:rPr>
          <w:szCs w:val="20"/>
        </w:rPr>
        <w:t>http://www.stats.govt.nz/survey-participants/a-z-of-our-surveys/te-kupenga-2013-questionnaire.aspx</w:t>
      </w:r>
    </w:p>
    <w:p w14:paraId="67A34C45" w14:textId="77777777" w:rsidR="005A0DA6" w:rsidRDefault="005A0DA6" w:rsidP="00F4745F">
      <w:pPr>
        <w:spacing w:line="360" w:lineRule="auto"/>
        <w:ind w:left="720" w:hanging="720"/>
        <w:rPr>
          <w:szCs w:val="20"/>
        </w:rPr>
      </w:pPr>
      <w:r w:rsidRPr="002339B8">
        <w:rPr>
          <w:szCs w:val="20"/>
        </w:rPr>
        <w:t xml:space="preserve">Steptoe, A., </w:t>
      </w:r>
      <w:proofErr w:type="spellStart"/>
      <w:r w:rsidRPr="002339B8">
        <w:rPr>
          <w:szCs w:val="20"/>
        </w:rPr>
        <w:t>Dockray</w:t>
      </w:r>
      <w:proofErr w:type="spellEnd"/>
      <w:r w:rsidRPr="002339B8">
        <w:rPr>
          <w:szCs w:val="20"/>
        </w:rPr>
        <w:t xml:space="preserve">, S., &amp; Wardle, J. (2009). Positive affect and psychobiological processes relevant to health. </w:t>
      </w:r>
      <w:r w:rsidRPr="002339B8">
        <w:rPr>
          <w:i/>
          <w:iCs/>
          <w:szCs w:val="20"/>
        </w:rPr>
        <w:t>Journal of Personality, 77</w:t>
      </w:r>
      <w:r w:rsidRPr="002339B8">
        <w:rPr>
          <w:szCs w:val="20"/>
        </w:rPr>
        <w:t xml:space="preserve">(6), 1747-1776. </w:t>
      </w:r>
      <w:proofErr w:type="gramStart"/>
      <w:r w:rsidRPr="002339B8">
        <w:rPr>
          <w:szCs w:val="20"/>
        </w:rPr>
        <w:t>doi</w:t>
      </w:r>
      <w:proofErr w:type="gramEnd"/>
      <w:r w:rsidRPr="002339B8">
        <w:rPr>
          <w:szCs w:val="20"/>
        </w:rPr>
        <w:t>: 10.1111/j.1467-6494.2009.00599.x</w:t>
      </w:r>
    </w:p>
    <w:p w14:paraId="7EB1D598" w14:textId="57A0CE5E" w:rsidR="00444E62" w:rsidRDefault="00444E62" w:rsidP="00F4745F">
      <w:pPr>
        <w:spacing w:line="360" w:lineRule="auto"/>
        <w:ind w:left="720" w:hanging="720"/>
        <w:rPr>
          <w:szCs w:val="20"/>
        </w:rPr>
      </w:pPr>
      <w:r>
        <w:rPr>
          <w:szCs w:val="20"/>
        </w:rPr>
        <w:t xml:space="preserve">World Economic Forum. (2011). </w:t>
      </w:r>
      <w:proofErr w:type="gramStart"/>
      <w:r>
        <w:rPr>
          <w:i/>
          <w:szCs w:val="20"/>
        </w:rPr>
        <w:t>The</w:t>
      </w:r>
      <w:proofErr w:type="gramEnd"/>
      <w:r>
        <w:rPr>
          <w:i/>
          <w:szCs w:val="20"/>
        </w:rPr>
        <w:t xml:space="preserve"> global economic burden of non-communicable diseases. </w:t>
      </w:r>
      <w:r>
        <w:rPr>
          <w:szCs w:val="20"/>
        </w:rPr>
        <w:t xml:space="preserve">Retrieved from </w:t>
      </w:r>
      <w:r w:rsidR="001E1B47" w:rsidRPr="001E1B47">
        <w:rPr>
          <w:szCs w:val="20"/>
        </w:rPr>
        <w:t>http://www.weforum.org/reports/global-economic-burden-non-communicable-diseases</w:t>
      </w:r>
    </w:p>
    <w:p w14:paraId="09F7BD54" w14:textId="44B759DF" w:rsidR="001E1B47" w:rsidRPr="001E1B47" w:rsidRDefault="001E1B47" w:rsidP="00F4745F">
      <w:pPr>
        <w:spacing w:line="360" w:lineRule="auto"/>
        <w:ind w:left="720" w:hanging="720"/>
        <w:rPr>
          <w:szCs w:val="20"/>
        </w:rPr>
      </w:pPr>
      <w:r>
        <w:rPr>
          <w:szCs w:val="20"/>
        </w:rPr>
        <w:t xml:space="preserve">World Values Survey. (2011). </w:t>
      </w:r>
      <w:r>
        <w:rPr>
          <w:i/>
          <w:szCs w:val="20"/>
        </w:rPr>
        <w:t>Methodological details of the New Zealand study of values survey 2011 as part of the 6</w:t>
      </w:r>
      <w:r w:rsidRPr="001E1B47">
        <w:rPr>
          <w:i/>
          <w:szCs w:val="20"/>
          <w:vertAlign w:val="superscript"/>
        </w:rPr>
        <w:t>th</w:t>
      </w:r>
      <w:r>
        <w:rPr>
          <w:i/>
          <w:szCs w:val="20"/>
        </w:rPr>
        <w:t xml:space="preserve"> wave of the world values survey. </w:t>
      </w:r>
      <w:r>
        <w:rPr>
          <w:szCs w:val="20"/>
        </w:rPr>
        <w:t xml:space="preserve">Retrieved from </w:t>
      </w:r>
      <w:r w:rsidRPr="001E1B47">
        <w:rPr>
          <w:szCs w:val="20"/>
        </w:rPr>
        <w:t>http://www.worldvaluessurvey.org/WVSDocumentationWV6.jsp</w:t>
      </w:r>
    </w:p>
    <w:p w14:paraId="2A04A212" w14:textId="739A8546" w:rsidR="001E1B47" w:rsidRPr="001E1B47" w:rsidRDefault="001E1B47" w:rsidP="00F4745F">
      <w:pPr>
        <w:spacing w:line="360" w:lineRule="auto"/>
        <w:ind w:left="720" w:hanging="720"/>
        <w:rPr>
          <w:szCs w:val="20"/>
        </w:rPr>
      </w:pPr>
      <w:r>
        <w:rPr>
          <w:szCs w:val="20"/>
        </w:rPr>
        <w:t xml:space="preserve">World Values Survey. (2011). </w:t>
      </w:r>
      <w:r>
        <w:rPr>
          <w:i/>
          <w:szCs w:val="20"/>
        </w:rPr>
        <w:t xml:space="preserve">The New Zealand study of values: Part of the world values survey 2011. </w:t>
      </w:r>
      <w:r>
        <w:rPr>
          <w:szCs w:val="20"/>
        </w:rPr>
        <w:t xml:space="preserve">Retrieved from </w:t>
      </w:r>
      <w:r w:rsidRPr="001E1B47">
        <w:rPr>
          <w:szCs w:val="20"/>
        </w:rPr>
        <w:t>http://www.worldvaluessurvey.org/WVSDocumentationWV6.jsp</w:t>
      </w:r>
    </w:p>
    <w:p w14:paraId="06380222" w14:textId="6A5E678A" w:rsidR="002339B8" w:rsidRDefault="00E83890" w:rsidP="00F4745F">
      <w:pPr>
        <w:spacing w:line="360" w:lineRule="auto"/>
        <w:ind w:left="720" w:hanging="720"/>
      </w:pPr>
      <w:r>
        <w:rPr>
          <w:szCs w:val="20"/>
        </w:rPr>
        <w:t xml:space="preserve">World Values Survey. (n.d.). </w:t>
      </w:r>
      <w:r>
        <w:rPr>
          <w:i/>
          <w:szCs w:val="20"/>
        </w:rPr>
        <w:t xml:space="preserve">What we do. </w:t>
      </w:r>
      <w:r>
        <w:rPr>
          <w:szCs w:val="20"/>
        </w:rPr>
        <w:t xml:space="preserve">Retrieved January 26, 2016, from </w:t>
      </w:r>
      <w:r w:rsidRPr="00E83890">
        <w:rPr>
          <w:szCs w:val="20"/>
        </w:rPr>
        <w:t>http://www.worldvaluessurvey.org/WVSContents.jsp</w:t>
      </w:r>
      <w:r w:rsidR="004A0DEB">
        <w:rPr>
          <w:szCs w:val="20"/>
        </w:rPr>
        <w:fldChar w:fldCharType="begin"/>
      </w:r>
      <w:r w:rsidR="004A0DEB">
        <w:rPr>
          <w:szCs w:val="20"/>
        </w:rPr>
        <w:instrText xml:space="preserve"> ADDIN EN.REFLIST </w:instrText>
      </w:r>
      <w:r w:rsidR="004A0DEB">
        <w:rPr>
          <w:szCs w:val="20"/>
        </w:rPr>
        <w:fldChar w:fldCharType="end"/>
      </w:r>
    </w:p>
    <w:p w14:paraId="2DB68022" w14:textId="77777777" w:rsidR="002339B8" w:rsidRDefault="002339B8" w:rsidP="00CD2A94">
      <w:pPr>
        <w:pStyle w:val="Caption"/>
      </w:pPr>
    </w:p>
    <w:p w14:paraId="4D5E7184" w14:textId="01997243" w:rsidR="002B2D49" w:rsidRPr="00AE1CC1" w:rsidRDefault="002B2D49" w:rsidP="00AE1CC1">
      <w:pPr>
        <w:spacing w:after="0" w:line="240" w:lineRule="auto"/>
        <w:rPr>
          <w:szCs w:val="20"/>
        </w:rPr>
      </w:pPr>
    </w:p>
    <w:sectPr w:rsidR="002B2D49" w:rsidRPr="00AE1CC1" w:rsidSect="00792A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C08D9" w14:textId="77777777" w:rsidR="00E21A5F" w:rsidRDefault="00E21A5F" w:rsidP="008678E1">
      <w:r>
        <w:separator/>
      </w:r>
    </w:p>
  </w:endnote>
  <w:endnote w:type="continuationSeparator" w:id="0">
    <w:p w14:paraId="6E35C1A5" w14:textId="77777777" w:rsidR="00E21A5F" w:rsidRDefault="00E21A5F" w:rsidP="0086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Mäori">
    <w:altName w:val="Times New Roman"/>
    <w:charset w:val="00"/>
    <w:family w:val="auto"/>
    <w:pitch w:val="default"/>
  </w:font>
  <w:font w:name="Caecilia-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0C96C" w14:textId="77777777" w:rsidR="00202DE2" w:rsidRDefault="00202D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73E41" w14:textId="77777777" w:rsidR="003D764F" w:rsidRPr="00157ECF" w:rsidRDefault="003D764F">
    <w:pPr>
      <w:pStyle w:val="Footer"/>
      <w:rPr>
        <w:sz w:val="16"/>
        <w:szCs w:val="16"/>
      </w:rPr>
    </w:pPr>
    <w:r w:rsidRPr="0045678D">
      <w:rPr>
        <w:sz w:val="16"/>
        <w:szCs w:val="16"/>
      </w:rPr>
      <w:t>FHES Summer Research Awards 2015/2016</w:t>
    </w:r>
    <w:r>
      <w:rPr>
        <w:sz w:val="16"/>
        <w:szCs w:val="16"/>
      </w:rPr>
      <w:t xml:space="preserve"> </w:t>
    </w:r>
    <w:r>
      <w:rPr>
        <w:sz w:val="16"/>
        <w:szCs w:val="16"/>
      </w:rPr>
      <w:tab/>
    </w:r>
    <w:r>
      <w:rPr>
        <w:sz w:val="16"/>
        <w:szCs w:val="16"/>
      </w:rPr>
      <w:tab/>
      <w:t xml:space="preserve"> page </w:t>
    </w:r>
    <w:r w:rsidRPr="00157ECF">
      <w:rPr>
        <w:sz w:val="16"/>
        <w:szCs w:val="16"/>
      </w:rPr>
      <w:fldChar w:fldCharType="begin"/>
    </w:r>
    <w:r w:rsidRPr="00157ECF">
      <w:rPr>
        <w:sz w:val="16"/>
        <w:szCs w:val="16"/>
      </w:rPr>
      <w:instrText xml:space="preserve"> PAGE   \* MERGEFORMAT </w:instrText>
    </w:r>
    <w:r w:rsidRPr="00157ECF">
      <w:rPr>
        <w:sz w:val="16"/>
        <w:szCs w:val="16"/>
      </w:rPr>
      <w:fldChar w:fldCharType="separate"/>
    </w:r>
    <w:r w:rsidR="00202DE2">
      <w:rPr>
        <w:noProof/>
        <w:sz w:val="16"/>
        <w:szCs w:val="16"/>
      </w:rPr>
      <w:t>ii</w:t>
    </w:r>
    <w:r w:rsidRPr="00157ECF">
      <w:rPr>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D766B" w14:textId="77777777" w:rsidR="00202DE2" w:rsidRDefault="00202DE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5D7AC" w14:textId="77777777" w:rsidR="003D764F" w:rsidRDefault="003D764F" w:rsidP="00E2176C">
    <w:pPr>
      <w:pStyle w:val="Header"/>
    </w:pPr>
    <w:r>
      <w:rPr>
        <w:sz w:val="16"/>
        <w:szCs w:val="16"/>
      </w:rPr>
      <w:tab/>
    </w:r>
    <w:r>
      <w:rPr>
        <w:sz w:val="16"/>
        <w:szCs w:val="16"/>
      </w:rPr>
      <w:tab/>
    </w:r>
  </w:p>
  <w:p w14:paraId="758FEAAD" w14:textId="77777777" w:rsidR="003D764F" w:rsidRPr="00157ECF" w:rsidRDefault="003D764F" w:rsidP="00E2176C">
    <w:pPr>
      <w:pStyle w:val="Footer"/>
      <w:rPr>
        <w:sz w:val="16"/>
        <w:szCs w:val="16"/>
      </w:rPr>
    </w:pPr>
    <w:r w:rsidRPr="0045678D">
      <w:rPr>
        <w:sz w:val="16"/>
        <w:szCs w:val="16"/>
      </w:rPr>
      <w:t>FHES Summer Research Awards 2015/2016</w:t>
    </w:r>
    <w:r>
      <w:rPr>
        <w:sz w:val="16"/>
        <w:szCs w:val="16"/>
      </w:rPr>
      <w:tab/>
    </w:r>
    <w:r>
      <w:rPr>
        <w:sz w:val="16"/>
        <w:szCs w:val="16"/>
      </w:rPr>
      <w:tab/>
      <w:t xml:space="preserve"> page </w:t>
    </w:r>
    <w:r w:rsidRPr="00B964AB">
      <w:rPr>
        <w:sz w:val="16"/>
        <w:szCs w:val="16"/>
      </w:rPr>
      <w:fldChar w:fldCharType="begin"/>
    </w:r>
    <w:r w:rsidRPr="00B964AB">
      <w:rPr>
        <w:sz w:val="16"/>
        <w:szCs w:val="16"/>
      </w:rPr>
      <w:instrText xml:space="preserve"> PAGE   \* MERGEFORMAT </w:instrText>
    </w:r>
    <w:r w:rsidRPr="00B964AB">
      <w:rPr>
        <w:sz w:val="16"/>
        <w:szCs w:val="16"/>
      </w:rPr>
      <w:fldChar w:fldCharType="separate"/>
    </w:r>
    <w:r w:rsidR="00202DE2">
      <w:rPr>
        <w:noProof/>
        <w:sz w:val="16"/>
        <w:szCs w:val="16"/>
      </w:rPr>
      <w:t>19</w:t>
    </w:r>
    <w:r w:rsidRPr="00B964AB">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6DD81" w14:textId="77777777" w:rsidR="00E21A5F" w:rsidRDefault="00E21A5F" w:rsidP="008678E1">
      <w:r>
        <w:separator/>
      </w:r>
    </w:p>
  </w:footnote>
  <w:footnote w:type="continuationSeparator" w:id="0">
    <w:p w14:paraId="283E0D5D" w14:textId="77777777" w:rsidR="00E21A5F" w:rsidRDefault="00E21A5F" w:rsidP="00867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E6BFC" w14:textId="77777777" w:rsidR="00202DE2" w:rsidRDefault="00202D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0E13F" w14:textId="77777777" w:rsidR="003D764F" w:rsidRPr="00D6437A" w:rsidRDefault="003D764F">
    <w:pPr>
      <w:pStyle w:val="Header"/>
      <w:rPr>
        <w:sz w:val="16"/>
        <w:szCs w:val="16"/>
      </w:rPr>
    </w:pPr>
    <w:r>
      <w:rPr>
        <w:sz w:val="16"/>
        <w:szCs w:val="16"/>
      </w:rPr>
      <w:tab/>
    </w:r>
    <w:r>
      <w:rPr>
        <w:sz w:val="16"/>
        <w:szCs w:val="16"/>
      </w:rPr>
      <w:tab/>
      <w:t xml:space="preserve">Final </w:t>
    </w:r>
    <w:r w:rsidRPr="00D6437A">
      <w:rPr>
        <w:sz w:val="16"/>
        <w:szCs w:val="16"/>
      </w:rPr>
      <w:t>Report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4261667"/>
      <w:docPartObj>
        <w:docPartGallery w:val="Watermarks"/>
        <w:docPartUnique/>
      </w:docPartObj>
    </w:sdtPr>
    <w:sdtContent>
      <w:p w14:paraId="7C47C18D" w14:textId="0D09A151" w:rsidR="00202DE2" w:rsidRDefault="00202DE2">
        <w:pPr>
          <w:pStyle w:val="Header"/>
        </w:pPr>
        <w:r>
          <w:rPr>
            <w:noProof/>
            <w:lang w:val="en-US"/>
          </w:rPr>
          <w:pict w14:anchorId="69A4A9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44CE9" w14:textId="77777777" w:rsidR="003D764F" w:rsidRPr="00D6437A" w:rsidRDefault="003D764F">
    <w:pPr>
      <w:pStyle w:val="Header"/>
      <w:rPr>
        <w:sz w:val="16"/>
        <w:szCs w:val="16"/>
      </w:rPr>
    </w:pPr>
    <w:r w:rsidRPr="00D6437A">
      <w:rPr>
        <w:sz w:val="16"/>
        <w:szCs w:val="16"/>
      </w:rPr>
      <w:tab/>
    </w:r>
    <w:r w:rsidRPr="00D6437A">
      <w:rPr>
        <w:sz w:val="16"/>
        <w:szCs w:val="16"/>
      </w:rPr>
      <w:tab/>
    </w:r>
    <w:r>
      <w:rPr>
        <w:sz w:val="16"/>
        <w:szCs w:val="16"/>
      </w:rPr>
      <w:t>Final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36CA"/>
    <w:multiLevelType w:val="hybridMultilevel"/>
    <w:tmpl w:val="69C8A1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50413BB"/>
    <w:multiLevelType w:val="hybridMultilevel"/>
    <w:tmpl w:val="3E90A5E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7BB05FC"/>
    <w:multiLevelType w:val="hybridMultilevel"/>
    <w:tmpl w:val="6C58DD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8E25C97"/>
    <w:multiLevelType w:val="multilevel"/>
    <w:tmpl w:val="A420E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675EBD"/>
    <w:multiLevelType w:val="hybridMultilevel"/>
    <w:tmpl w:val="6862F1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88375E1"/>
    <w:multiLevelType w:val="hybridMultilevel"/>
    <w:tmpl w:val="0282A3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8A754FF"/>
    <w:multiLevelType w:val="hybridMultilevel"/>
    <w:tmpl w:val="E2F4587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9E036E8"/>
    <w:multiLevelType w:val="hybridMultilevel"/>
    <w:tmpl w:val="2EEC8DE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4185533A"/>
    <w:multiLevelType w:val="hybridMultilevel"/>
    <w:tmpl w:val="28E06E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81B66FB"/>
    <w:multiLevelType w:val="hybridMultilevel"/>
    <w:tmpl w:val="F6A0EA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8884042"/>
    <w:multiLevelType w:val="hybridMultilevel"/>
    <w:tmpl w:val="B276DD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A001A5C"/>
    <w:multiLevelType w:val="hybridMultilevel"/>
    <w:tmpl w:val="FA0EA65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4BAE07F6"/>
    <w:multiLevelType w:val="hybridMultilevel"/>
    <w:tmpl w:val="1F961A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53150F53"/>
    <w:multiLevelType w:val="hybridMultilevel"/>
    <w:tmpl w:val="4AA63F3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42A0A3A"/>
    <w:multiLevelType w:val="hybridMultilevel"/>
    <w:tmpl w:val="0950B1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58B7CE3"/>
    <w:multiLevelType w:val="multilevel"/>
    <w:tmpl w:val="E162F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7B2F5D"/>
    <w:multiLevelType w:val="multilevel"/>
    <w:tmpl w:val="35901FAC"/>
    <w:lvl w:ilvl="0">
      <w:start w:val="1"/>
      <w:numFmt w:val="decimal"/>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pStyle w:val="Heading4"/>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7BD60BE"/>
    <w:multiLevelType w:val="hybridMultilevel"/>
    <w:tmpl w:val="24ECB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5"/>
  </w:num>
  <w:num w:numId="4">
    <w:abstractNumId w:val="16"/>
  </w:num>
  <w:num w:numId="5">
    <w:abstractNumId w:val="16"/>
  </w:num>
  <w:num w:numId="6">
    <w:abstractNumId w:val="8"/>
  </w:num>
  <w:num w:numId="7">
    <w:abstractNumId w:val="13"/>
  </w:num>
  <w:num w:numId="8">
    <w:abstractNumId w:val="1"/>
  </w:num>
  <w:num w:numId="9">
    <w:abstractNumId w:val="6"/>
  </w:num>
  <w:num w:numId="10">
    <w:abstractNumId w:val="10"/>
  </w:num>
  <w:num w:numId="11">
    <w:abstractNumId w:val="3"/>
  </w:num>
  <w:num w:numId="12">
    <w:abstractNumId w:val="2"/>
  </w:num>
  <w:num w:numId="13">
    <w:abstractNumId w:val="0"/>
  </w:num>
  <w:num w:numId="14">
    <w:abstractNumId w:val="5"/>
  </w:num>
  <w:num w:numId="15">
    <w:abstractNumId w:val="12"/>
  </w:num>
  <w:num w:numId="16">
    <w:abstractNumId w:val="11"/>
  </w:num>
  <w:num w:numId="17">
    <w:abstractNumId w:val="7"/>
  </w:num>
  <w:num w:numId="18">
    <w:abstractNumId w:val="4"/>
  </w:num>
  <w:num w:numId="19">
    <w:abstractNumId w:val="9"/>
  </w:num>
  <w:num w:numId="20">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 AUT X6&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d9dwf00pd59eee2ar9vr2rh55vewdr0pt5p&quot;&gt;LM Endote-Recovered&lt;record-ids&gt;&lt;item&gt;668&lt;/item&gt;&lt;/record-ids&gt;&lt;/item&gt;&lt;/Libraries&gt;"/>
  </w:docVars>
  <w:rsids>
    <w:rsidRoot w:val="00796C08"/>
    <w:rsid w:val="00002D8B"/>
    <w:rsid w:val="00010850"/>
    <w:rsid w:val="00012D3A"/>
    <w:rsid w:val="00014C81"/>
    <w:rsid w:val="00015600"/>
    <w:rsid w:val="00020734"/>
    <w:rsid w:val="0002403E"/>
    <w:rsid w:val="000262B4"/>
    <w:rsid w:val="00030E80"/>
    <w:rsid w:val="00031E7B"/>
    <w:rsid w:val="000328FD"/>
    <w:rsid w:val="00032E43"/>
    <w:rsid w:val="0003332F"/>
    <w:rsid w:val="00034050"/>
    <w:rsid w:val="0003589C"/>
    <w:rsid w:val="00041A0D"/>
    <w:rsid w:val="000425FF"/>
    <w:rsid w:val="00043032"/>
    <w:rsid w:val="00045C5C"/>
    <w:rsid w:val="000553EE"/>
    <w:rsid w:val="00056C2A"/>
    <w:rsid w:val="00056DF3"/>
    <w:rsid w:val="000570CC"/>
    <w:rsid w:val="0006043D"/>
    <w:rsid w:val="0006241B"/>
    <w:rsid w:val="00063202"/>
    <w:rsid w:val="000635DD"/>
    <w:rsid w:val="00064A8E"/>
    <w:rsid w:val="00066125"/>
    <w:rsid w:val="000811ED"/>
    <w:rsid w:val="0008306E"/>
    <w:rsid w:val="00087796"/>
    <w:rsid w:val="00093541"/>
    <w:rsid w:val="00094399"/>
    <w:rsid w:val="000A3C3F"/>
    <w:rsid w:val="000B3D34"/>
    <w:rsid w:val="000C347D"/>
    <w:rsid w:val="000C545C"/>
    <w:rsid w:val="000D41CD"/>
    <w:rsid w:val="000D5052"/>
    <w:rsid w:val="000E0092"/>
    <w:rsid w:val="000E765C"/>
    <w:rsid w:val="000F06FB"/>
    <w:rsid w:val="000F1E9B"/>
    <w:rsid w:val="000F2DE4"/>
    <w:rsid w:val="000F4E02"/>
    <w:rsid w:val="000F6114"/>
    <w:rsid w:val="000F78C5"/>
    <w:rsid w:val="0011183E"/>
    <w:rsid w:val="00115554"/>
    <w:rsid w:val="00115EA2"/>
    <w:rsid w:val="00121CE2"/>
    <w:rsid w:val="0012583E"/>
    <w:rsid w:val="0012602A"/>
    <w:rsid w:val="0012637A"/>
    <w:rsid w:val="001312DA"/>
    <w:rsid w:val="00132E40"/>
    <w:rsid w:val="001331DD"/>
    <w:rsid w:val="00140DAB"/>
    <w:rsid w:val="001425E2"/>
    <w:rsid w:val="001428C5"/>
    <w:rsid w:val="00147B22"/>
    <w:rsid w:val="00152143"/>
    <w:rsid w:val="00155AA6"/>
    <w:rsid w:val="00157ECF"/>
    <w:rsid w:val="00161070"/>
    <w:rsid w:val="001644D8"/>
    <w:rsid w:val="00167871"/>
    <w:rsid w:val="0017119A"/>
    <w:rsid w:val="00176BA4"/>
    <w:rsid w:val="00181936"/>
    <w:rsid w:val="00183D4A"/>
    <w:rsid w:val="00187F47"/>
    <w:rsid w:val="001900DF"/>
    <w:rsid w:val="00191AF3"/>
    <w:rsid w:val="00195A85"/>
    <w:rsid w:val="00196115"/>
    <w:rsid w:val="001A0B6F"/>
    <w:rsid w:val="001A2276"/>
    <w:rsid w:val="001A36CF"/>
    <w:rsid w:val="001A45FD"/>
    <w:rsid w:val="001B52AE"/>
    <w:rsid w:val="001B6441"/>
    <w:rsid w:val="001B67E1"/>
    <w:rsid w:val="001B69FC"/>
    <w:rsid w:val="001C0298"/>
    <w:rsid w:val="001C06A7"/>
    <w:rsid w:val="001C5735"/>
    <w:rsid w:val="001D571C"/>
    <w:rsid w:val="001D6C57"/>
    <w:rsid w:val="001E1B47"/>
    <w:rsid w:val="001E52C4"/>
    <w:rsid w:val="001F1DBF"/>
    <w:rsid w:val="001F1E66"/>
    <w:rsid w:val="00201919"/>
    <w:rsid w:val="002029B7"/>
    <w:rsid w:val="00202DE2"/>
    <w:rsid w:val="002059C9"/>
    <w:rsid w:val="00212D72"/>
    <w:rsid w:val="002134E2"/>
    <w:rsid w:val="0021366A"/>
    <w:rsid w:val="00215E80"/>
    <w:rsid w:val="00221D29"/>
    <w:rsid w:val="00221D6E"/>
    <w:rsid w:val="00222EF0"/>
    <w:rsid w:val="002248FA"/>
    <w:rsid w:val="00225252"/>
    <w:rsid w:val="002339B8"/>
    <w:rsid w:val="00234069"/>
    <w:rsid w:val="00234268"/>
    <w:rsid w:val="002352AB"/>
    <w:rsid w:val="0024094A"/>
    <w:rsid w:val="00241305"/>
    <w:rsid w:val="002418F6"/>
    <w:rsid w:val="00241CB6"/>
    <w:rsid w:val="0024527E"/>
    <w:rsid w:val="00245404"/>
    <w:rsid w:val="002500D0"/>
    <w:rsid w:val="002519C3"/>
    <w:rsid w:val="0025644F"/>
    <w:rsid w:val="00261A68"/>
    <w:rsid w:val="002652E4"/>
    <w:rsid w:val="00265362"/>
    <w:rsid w:val="00265909"/>
    <w:rsid w:val="00267132"/>
    <w:rsid w:val="0026731D"/>
    <w:rsid w:val="0027107C"/>
    <w:rsid w:val="00273AD4"/>
    <w:rsid w:val="00280235"/>
    <w:rsid w:val="00280EE0"/>
    <w:rsid w:val="002817F0"/>
    <w:rsid w:val="0028408D"/>
    <w:rsid w:val="00284765"/>
    <w:rsid w:val="00295BBD"/>
    <w:rsid w:val="00296B1C"/>
    <w:rsid w:val="002A0D36"/>
    <w:rsid w:val="002A3C5B"/>
    <w:rsid w:val="002A4060"/>
    <w:rsid w:val="002A584F"/>
    <w:rsid w:val="002A60EA"/>
    <w:rsid w:val="002B0E10"/>
    <w:rsid w:val="002B2591"/>
    <w:rsid w:val="002B2B06"/>
    <w:rsid w:val="002B2D49"/>
    <w:rsid w:val="002B4D49"/>
    <w:rsid w:val="002B71B8"/>
    <w:rsid w:val="002B75AB"/>
    <w:rsid w:val="002C3293"/>
    <w:rsid w:val="002C382A"/>
    <w:rsid w:val="002C643B"/>
    <w:rsid w:val="002C6EF0"/>
    <w:rsid w:val="002D44C3"/>
    <w:rsid w:val="002D4933"/>
    <w:rsid w:val="002D4BBB"/>
    <w:rsid w:val="002D4DE4"/>
    <w:rsid w:val="002D6D0C"/>
    <w:rsid w:val="002E103D"/>
    <w:rsid w:val="002E3638"/>
    <w:rsid w:val="002E644E"/>
    <w:rsid w:val="002E7CD3"/>
    <w:rsid w:val="002F07CD"/>
    <w:rsid w:val="002F1F58"/>
    <w:rsid w:val="002F2936"/>
    <w:rsid w:val="002F6158"/>
    <w:rsid w:val="00307862"/>
    <w:rsid w:val="00310016"/>
    <w:rsid w:val="00311005"/>
    <w:rsid w:val="00311218"/>
    <w:rsid w:val="0031288D"/>
    <w:rsid w:val="00313DCB"/>
    <w:rsid w:val="003144AB"/>
    <w:rsid w:val="00321285"/>
    <w:rsid w:val="00325E00"/>
    <w:rsid w:val="00325EB7"/>
    <w:rsid w:val="003312C1"/>
    <w:rsid w:val="003313CA"/>
    <w:rsid w:val="00332548"/>
    <w:rsid w:val="00334D0B"/>
    <w:rsid w:val="003377AE"/>
    <w:rsid w:val="0034191B"/>
    <w:rsid w:val="003426BF"/>
    <w:rsid w:val="00343E54"/>
    <w:rsid w:val="00344EDD"/>
    <w:rsid w:val="003450CC"/>
    <w:rsid w:val="00357381"/>
    <w:rsid w:val="00362D0A"/>
    <w:rsid w:val="00363513"/>
    <w:rsid w:val="00363CAA"/>
    <w:rsid w:val="00366BAB"/>
    <w:rsid w:val="00370E8D"/>
    <w:rsid w:val="003712D7"/>
    <w:rsid w:val="00372911"/>
    <w:rsid w:val="00372917"/>
    <w:rsid w:val="00374FB2"/>
    <w:rsid w:val="00375C7F"/>
    <w:rsid w:val="00385007"/>
    <w:rsid w:val="00385065"/>
    <w:rsid w:val="00385209"/>
    <w:rsid w:val="003856DC"/>
    <w:rsid w:val="0038661A"/>
    <w:rsid w:val="00387657"/>
    <w:rsid w:val="00392D94"/>
    <w:rsid w:val="00394497"/>
    <w:rsid w:val="0039513F"/>
    <w:rsid w:val="003A2784"/>
    <w:rsid w:val="003A283C"/>
    <w:rsid w:val="003A5883"/>
    <w:rsid w:val="003A6A18"/>
    <w:rsid w:val="003A7434"/>
    <w:rsid w:val="003B175F"/>
    <w:rsid w:val="003B2DB6"/>
    <w:rsid w:val="003B3A17"/>
    <w:rsid w:val="003B57E0"/>
    <w:rsid w:val="003B7A2B"/>
    <w:rsid w:val="003C0D4E"/>
    <w:rsid w:val="003C4A73"/>
    <w:rsid w:val="003C6179"/>
    <w:rsid w:val="003C7645"/>
    <w:rsid w:val="003D1E98"/>
    <w:rsid w:val="003D3BD6"/>
    <w:rsid w:val="003D764F"/>
    <w:rsid w:val="003E191A"/>
    <w:rsid w:val="003E3425"/>
    <w:rsid w:val="003E3F62"/>
    <w:rsid w:val="003E5365"/>
    <w:rsid w:val="003F00D3"/>
    <w:rsid w:val="003F06BB"/>
    <w:rsid w:val="003F49EE"/>
    <w:rsid w:val="003F683A"/>
    <w:rsid w:val="003F7E74"/>
    <w:rsid w:val="00403D19"/>
    <w:rsid w:val="00404065"/>
    <w:rsid w:val="00407FF7"/>
    <w:rsid w:val="00410385"/>
    <w:rsid w:val="0041337E"/>
    <w:rsid w:val="00413662"/>
    <w:rsid w:val="00413DFB"/>
    <w:rsid w:val="00415711"/>
    <w:rsid w:val="00415C01"/>
    <w:rsid w:val="00417A54"/>
    <w:rsid w:val="00422B04"/>
    <w:rsid w:val="0042399F"/>
    <w:rsid w:val="00423E94"/>
    <w:rsid w:val="00424A39"/>
    <w:rsid w:val="00431C20"/>
    <w:rsid w:val="0043508C"/>
    <w:rsid w:val="00435DA3"/>
    <w:rsid w:val="004414E5"/>
    <w:rsid w:val="00444483"/>
    <w:rsid w:val="00444A3A"/>
    <w:rsid w:val="00444E62"/>
    <w:rsid w:val="0044657A"/>
    <w:rsid w:val="00446590"/>
    <w:rsid w:val="0045678D"/>
    <w:rsid w:val="0046395B"/>
    <w:rsid w:val="004640BD"/>
    <w:rsid w:val="00465013"/>
    <w:rsid w:val="0046577C"/>
    <w:rsid w:val="00466CDA"/>
    <w:rsid w:val="00471975"/>
    <w:rsid w:val="00474FD3"/>
    <w:rsid w:val="004761DB"/>
    <w:rsid w:val="00486AA4"/>
    <w:rsid w:val="00491357"/>
    <w:rsid w:val="00493FA1"/>
    <w:rsid w:val="00494A89"/>
    <w:rsid w:val="00494BC1"/>
    <w:rsid w:val="00497971"/>
    <w:rsid w:val="00497AB2"/>
    <w:rsid w:val="00497DE6"/>
    <w:rsid w:val="004A0DEB"/>
    <w:rsid w:val="004A4DEA"/>
    <w:rsid w:val="004A6ECB"/>
    <w:rsid w:val="004B49C6"/>
    <w:rsid w:val="004B6C73"/>
    <w:rsid w:val="004C326A"/>
    <w:rsid w:val="004C60A8"/>
    <w:rsid w:val="004C7227"/>
    <w:rsid w:val="004D2DFB"/>
    <w:rsid w:val="004D3D16"/>
    <w:rsid w:val="004D3E08"/>
    <w:rsid w:val="004D7542"/>
    <w:rsid w:val="004E018F"/>
    <w:rsid w:val="004E2F75"/>
    <w:rsid w:val="004E4341"/>
    <w:rsid w:val="004E5C09"/>
    <w:rsid w:val="004F0DBF"/>
    <w:rsid w:val="004F11B1"/>
    <w:rsid w:val="004F6EE5"/>
    <w:rsid w:val="00500221"/>
    <w:rsid w:val="0050031A"/>
    <w:rsid w:val="00500732"/>
    <w:rsid w:val="00500D0E"/>
    <w:rsid w:val="00501CDE"/>
    <w:rsid w:val="00506ACC"/>
    <w:rsid w:val="00507ABE"/>
    <w:rsid w:val="00521408"/>
    <w:rsid w:val="0052220D"/>
    <w:rsid w:val="00522A22"/>
    <w:rsid w:val="00526B61"/>
    <w:rsid w:val="005275E6"/>
    <w:rsid w:val="005352BF"/>
    <w:rsid w:val="00537D59"/>
    <w:rsid w:val="005442EE"/>
    <w:rsid w:val="005448F7"/>
    <w:rsid w:val="00545E8A"/>
    <w:rsid w:val="00553185"/>
    <w:rsid w:val="00557E17"/>
    <w:rsid w:val="00560A91"/>
    <w:rsid w:val="00562EE2"/>
    <w:rsid w:val="00567FB2"/>
    <w:rsid w:val="00571340"/>
    <w:rsid w:val="00571B0D"/>
    <w:rsid w:val="005731AC"/>
    <w:rsid w:val="0057357B"/>
    <w:rsid w:val="00574C90"/>
    <w:rsid w:val="0057701C"/>
    <w:rsid w:val="0058311C"/>
    <w:rsid w:val="0058344B"/>
    <w:rsid w:val="005846DB"/>
    <w:rsid w:val="00584CF5"/>
    <w:rsid w:val="00585A90"/>
    <w:rsid w:val="00586914"/>
    <w:rsid w:val="00587C1F"/>
    <w:rsid w:val="0059377F"/>
    <w:rsid w:val="00596FA6"/>
    <w:rsid w:val="005A0DA6"/>
    <w:rsid w:val="005A11F7"/>
    <w:rsid w:val="005A56DD"/>
    <w:rsid w:val="005A6440"/>
    <w:rsid w:val="005B0875"/>
    <w:rsid w:val="005B21A8"/>
    <w:rsid w:val="005B7246"/>
    <w:rsid w:val="005B72A9"/>
    <w:rsid w:val="005C5BCE"/>
    <w:rsid w:val="005C5D27"/>
    <w:rsid w:val="005C754F"/>
    <w:rsid w:val="005D06C8"/>
    <w:rsid w:val="005D25D3"/>
    <w:rsid w:val="005D5CCC"/>
    <w:rsid w:val="005D6293"/>
    <w:rsid w:val="005D6A8A"/>
    <w:rsid w:val="005E6E43"/>
    <w:rsid w:val="005E705C"/>
    <w:rsid w:val="005E7B23"/>
    <w:rsid w:val="005F1EA2"/>
    <w:rsid w:val="005F3E09"/>
    <w:rsid w:val="005F7F3E"/>
    <w:rsid w:val="006009B6"/>
    <w:rsid w:val="0061196B"/>
    <w:rsid w:val="006121BB"/>
    <w:rsid w:val="00612F64"/>
    <w:rsid w:val="00613CE5"/>
    <w:rsid w:val="006153DE"/>
    <w:rsid w:val="006174F0"/>
    <w:rsid w:val="006200BC"/>
    <w:rsid w:val="0062294D"/>
    <w:rsid w:val="0062593E"/>
    <w:rsid w:val="0063310E"/>
    <w:rsid w:val="00635FC0"/>
    <w:rsid w:val="00636567"/>
    <w:rsid w:val="00636F96"/>
    <w:rsid w:val="0063756A"/>
    <w:rsid w:val="00637E1D"/>
    <w:rsid w:val="0064081E"/>
    <w:rsid w:val="00640EAB"/>
    <w:rsid w:val="0064172C"/>
    <w:rsid w:val="00642878"/>
    <w:rsid w:val="006439CF"/>
    <w:rsid w:val="00655CC6"/>
    <w:rsid w:val="0065755C"/>
    <w:rsid w:val="00660DE6"/>
    <w:rsid w:val="00661810"/>
    <w:rsid w:val="0066379C"/>
    <w:rsid w:val="00667FCE"/>
    <w:rsid w:val="006705E1"/>
    <w:rsid w:val="00673E81"/>
    <w:rsid w:val="0068167D"/>
    <w:rsid w:val="006819D5"/>
    <w:rsid w:val="006852B1"/>
    <w:rsid w:val="0068627F"/>
    <w:rsid w:val="00686C44"/>
    <w:rsid w:val="00690B3B"/>
    <w:rsid w:val="00690FF1"/>
    <w:rsid w:val="00691822"/>
    <w:rsid w:val="006929B6"/>
    <w:rsid w:val="006958ED"/>
    <w:rsid w:val="006A161D"/>
    <w:rsid w:val="006A7552"/>
    <w:rsid w:val="006B2115"/>
    <w:rsid w:val="006B3120"/>
    <w:rsid w:val="006B3FE3"/>
    <w:rsid w:val="006B427F"/>
    <w:rsid w:val="006B4D11"/>
    <w:rsid w:val="006C020A"/>
    <w:rsid w:val="006C20D0"/>
    <w:rsid w:val="006C362B"/>
    <w:rsid w:val="006C54AF"/>
    <w:rsid w:val="006E0370"/>
    <w:rsid w:val="006E0D1B"/>
    <w:rsid w:val="006E141E"/>
    <w:rsid w:val="006E3A8C"/>
    <w:rsid w:val="006E55F9"/>
    <w:rsid w:val="006E67E0"/>
    <w:rsid w:val="006E7466"/>
    <w:rsid w:val="006F4150"/>
    <w:rsid w:val="0070179D"/>
    <w:rsid w:val="00706FE5"/>
    <w:rsid w:val="00716491"/>
    <w:rsid w:val="00720052"/>
    <w:rsid w:val="00720324"/>
    <w:rsid w:val="00721ADF"/>
    <w:rsid w:val="00723836"/>
    <w:rsid w:val="00726766"/>
    <w:rsid w:val="00733F77"/>
    <w:rsid w:val="0073464B"/>
    <w:rsid w:val="00737910"/>
    <w:rsid w:val="007409B1"/>
    <w:rsid w:val="00741A05"/>
    <w:rsid w:val="00744A8B"/>
    <w:rsid w:val="00745EFA"/>
    <w:rsid w:val="007479AC"/>
    <w:rsid w:val="00750390"/>
    <w:rsid w:val="007505E9"/>
    <w:rsid w:val="00755228"/>
    <w:rsid w:val="0075741A"/>
    <w:rsid w:val="00757655"/>
    <w:rsid w:val="00757AF6"/>
    <w:rsid w:val="00760709"/>
    <w:rsid w:val="007613ED"/>
    <w:rsid w:val="00762180"/>
    <w:rsid w:val="0076367C"/>
    <w:rsid w:val="007649FC"/>
    <w:rsid w:val="0077440B"/>
    <w:rsid w:val="00776E6C"/>
    <w:rsid w:val="00781A4B"/>
    <w:rsid w:val="007829AF"/>
    <w:rsid w:val="00783DC2"/>
    <w:rsid w:val="00792A17"/>
    <w:rsid w:val="00795257"/>
    <w:rsid w:val="00795C46"/>
    <w:rsid w:val="0079622A"/>
    <w:rsid w:val="00796C08"/>
    <w:rsid w:val="0079768F"/>
    <w:rsid w:val="007A6824"/>
    <w:rsid w:val="007B03C1"/>
    <w:rsid w:val="007B0E9C"/>
    <w:rsid w:val="007B32A4"/>
    <w:rsid w:val="007B337F"/>
    <w:rsid w:val="007B6C16"/>
    <w:rsid w:val="007C085D"/>
    <w:rsid w:val="007C0C1C"/>
    <w:rsid w:val="007C2D45"/>
    <w:rsid w:val="007C3189"/>
    <w:rsid w:val="007C45F0"/>
    <w:rsid w:val="007C7841"/>
    <w:rsid w:val="007D04B2"/>
    <w:rsid w:val="007D219F"/>
    <w:rsid w:val="007D3138"/>
    <w:rsid w:val="007D5932"/>
    <w:rsid w:val="007E01E9"/>
    <w:rsid w:val="007E5982"/>
    <w:rsid w:val="007E5FDD"/>
    <w:rsid w:val="007E6B22"/>
    <w:rsid w:val="007E7589"/>
    <w:rsid w:val="007F5B7B"/>
    <w:rsid w:val="00801AC9"/>
    <w:rsid w:val="00802224"/>
    <w:rsid w:val="00803D06"/>
    <w:rsid w:val="008046D1"/>
    <w:rsid w:val="00805719"/>
    <w:rsid w:val="0081251D"/>
    <w:rsid w:val="008157D2"/>
    <w:rsid w:val="00815AAE"/>
    <w:rsid w:val="00826A9A"/>
    <w:rsid w:val="00830699"/>
    <w:rsid w:val="00830FA1"/>
    <w:rsid w:val="00836472"/>
    <w:rsid w:val="008418ED"/>
    <w:rsid w:val="00843698"/>
    <w:rsid w:val="00846404"/>
    <w:rsid w:val="00846A7C"/>
    <w:rsid w:val="00853AAF"/>
    <w:rsid w:val="008625E0"/>
    <w:rsid w:val="00863ABC"/>
    <w:rsid w:val="00865019"/>
    <w:rsid w:val="00866E21"/>
    <w:rsid w:val="008678E1"/>
    <w:rsid w:val="0087259B"/>
    <w:rsid w:val="008837AC"/>
    <w:rsid w:val="00884F6D"/>
    <w:rsid w:val="00887200"/>
    <w:rsid w:val="00893A41"/>
    <w:rsid w:val="008A1AF1"/>
    <w:rsid w:val="008A55C9"/>
    <w:rsid w:val="008B0EAF"/>
    <w:rsid w:val="008B54E3"/>
    <w:rsid w:val="008B5F84"/>
    <w:rsid w:val="008B68D8"/>
    <w:rsid w:val="008C0CB0"/>
    <w:rsid w:val="008C0F6A"/>
    <w:rsid w:val="008C39CC"/>
    <w:rsid w:val="008C61F5"/>
    <w:rsid w:val="008C6BB9"/>
    <w:rsid w:val="008D088A"/>
    <w:rsid w:val="008D0B3C"/>
    <w:rsid w:val="008D2392"/>
    <w:rsid w:val="008D3486"/>
    <w:rsid w:val="008D40DB"/>
    <w:rsid w:val="008D5487"/>
    <w:rsid w:val="008E127B"/>
    <w:rsid w:val="008E199B"/>
    <w:rsid w:val="008E45CD"/>
    <w:rsid w:val="008F22D1"/>
    <w:rsid w:val="008F2C09"/>
    <w:rsid w:val="008F31CE"/>
    <w:rsid w:val="008F3C8F"/>
    <w:rsid w:val="008F488B"/>
    <w:rsid w:val="008F6C6A"/>
    <w:rsid w:val="009023D5"/>
    <w:rsid w:val="00902EEA"/>
    <w:rsid w:val="00902F1A"/>
    <w:rsid w:val="00902F8F"/>
    <w:rsid w:val="00903F69"/>
    <w:rsid w:val="00904159"/>
    <w:rsid w:val="009202C6"/>
    <w:rsid w:val="009208F0"/>
    <w:rsid w:val="00921F14"/>
    <w:rsid w:val="009233D3"/>
    <w:rsid w:val="00930CFB"/>
    <w:rsid w:val="00931F50"/>
    <w:rsid w:val="00934185"/>
    <w:rsid w:val="00934455"/>
    <w:rsid w:val="009353AB"/>
    <w:rsid w:val="00940262"/>
    <w:rsid w:val="009402BC"/>
    <w:rsid w:val="009403CC"/>
    <w:rsid w:val="009460D6"/>
    <w:rsid w:val="0094778B"/>
    <w:rsid w:val="00950604"/>
    <w:rsid w:val="00952932"/>
    <w:rsid w:val="00957A32"/>
    <w:rsid w:val="00961AD4"/>
    <w:rsid w:val="0096256C"/>
    <w:rsid w:val="00964638"/>
    <w:rsid w:val="0096474A"/>
    <w:rsid w:val="00973CF3"/>
    <w:rsid w:val="00974685"/>
    <w:rsid w:val="00982362"/>
    <w:rsid w:val="00992898"/>
    <w:rsid w:val="00995252"/>
    <w:rsid w:val="00996EAB"/>
    <w:rsid w:val="009A3A3C"/>
    <w:rsid w:val="009A6995"/>
    <w:rsid w:val="009B03A2"/>
    <w:rsid w:val="009B0A41"/>
    <w:rsid w:val="009B303B"/>
    <w:rsid w:val="009B3263"/>
    <w:rsid w:val="009B3841"/>
    <w:rsid w:val="009B5D07"/>
    <w:rsid w:val="009C3AA0"/>
    <w:rsid w:val="009D24E1"/>
    <w:rsid w:val="009D3131"/>
    <w:rsid w:val="009D623E"/>
    <w:rsid w:val="009E3767"/>
    <w:rsid w:val="009F0F67"/>
    <w:rsid w:val="00A04CCB"/>
    <w:rsid w:val="00A10BB7"/>
    <w:rsid w:val="00A13B8E"/>
    <w:rsid w:val="00A16892"/>
    <w:rsid w:val="00A2066B"/>
    <w:rsid w:val="00A21597"/>
    <w:rsid w:val="00A32ABB"/>
    <w:rsid w:val="00A33AAA"/>
    <w:rsid w:val="00A37440"/>
    <w:rsid w:val="00A400E7"/>
    <w:rsid w:val="00A41841"/>
    <w:rsid w:val="00A43B03"/>
    <w:rsid w:val="00A43DFE"/>
    <w:rsid w:val="00A44CAB"/>
    <w:rsid w:val="00A473BA"/>
    <w:rsid w:val="00A50959"/>
    <w:rsid w:val="00A5211F"/>
    <w:rsid w:val="00A5568A"/>
    <w:rsid w:val="00A55D4D"/>
    <w:rsid w:val="00A56863"/>
    <w:rsid w:val="00A62010"/>
    <w:rsid w:val="00A63AC6"/>
    <w:rsid w:val="00A64C31"/>
    <w:rsid w:val="00A66C60"/>
    <w:rsid w:val="00A7188C"/>
    <w:rsid w:val="00A71DA6"/>
    <w:rsid w:val="00A81A7E"/>
    <w:rsid w:val="00A83EC6"/>
    <w:rsid w:val="00A85F73"/>
    <w:rsid w:val="00A86036"/>
    <w:rsid w:val="00A87D96"/>
    <w:rsid w:val="00A918E1"/>
    <w:rsid w:val="00A92532"/>
    <w:rsid w:val="00AA210F"/>
    <w:rsid w:val="00AB1318"/>
    <w:rsid w:val="00AB331A"/>
    <w:rsid w:val="00AB3328"/>
    <w:rsid w:val="00AB788A"/>
    <w:rsid w:val="00AC0504"/>
    <w:rsid w:val="00AC386B"/>
    <w:rsid w:val="00AC7502"/>
    <w:rsid w:val="00AD067D"/>
    <w:rsid w:val="00AD41EB"/>
    <w:rsid w:val="00AD70FD"/>
    <w:rsid w:val="00AE1CC1"/>
    <w:rsid w:val="00AE60E9"/>
    <w:rsid w:val="00AE6729"/>
    <w:rsid w:val="00AE6F1C"/>
    <w:rsid w:val="00AF76C9"/>
    <w:rsid w:val="00B004BE"/>
    <w:rsid w:val="00B00B91"/>
    <w:rsid w:val="00B01445"/>
    <w:rsid w:val="00B039A4"/>
    <w:rsid w:val="00B13585"/>
    <w:rsid w:val="00B13F05"/>
    <w:rsid w:val="00B25E76"/>
    <w:rsid w:val="00B32820"/>
    <w:rsid w:val="00B34736"/>
    <w:rsid w:val="00B35847"/>
    <w:rsid w:val="00B422E4"/>
    <w:rsid w:val="00B448CE"/>
    <w:rsid w:val="00B44CE6"/>
    <w:rsid w:val="00B50498"/>
    <w:rsid w:val="00B54417"/>
    <w:rsid w:val="00B54866"/>
    <w:rsid w:val="00B54C2E"/>
    <w:rsid w:val="00B56AC0"/>
    <w:rsid w:val="00B57161"/>
    <w:rsid w:val="00B577C7"/>
    <w:rsid w:val="00B6290F"/>
    <w:rsid w:val="00B63727"/>
    <w:rsid w:val="00B7578B"/>
    <w:rsid w:val="00B773B3"/>
    <w:rsid w:val="00B82012"/>
    <w:rsid w:val="00B85D76"/>
    <w:rsid w:val="00B85F22"/>
    <w:rsid w:val="00B87C5D"/>
    <w:rsid w:val="00B87E77"/>
    <w:rsid w:val="00B91DC6"/>
    <w:rsid w:val="00B93CFE"/>
    <w:rsid w:val="00B95A05"/>
    <w:rsid w:val="00B964AB"/>
    <w:rsid w:val="00BA0420"/>
    <w:rsid w:val="00BA1D4A"/>
    <w:rsid w:val="00BA425B"/>
    <w:rsid w:val="00BA50D5"/>
    <w:rsid w:val="00BA63A7"/>
    <w:rsid w:val="00BA77F0"/>
    <w:rsid w:val="00BB0FC4"/>
    <w:rsid w:val="00BB6121"/>
    <w:rsid w:val="00BC128F"/>
    <w:rsid w:val="00BC26FD"/>
    <w:rsid w:val="00BC30DD"/>
    <w:rsid w:val="00BC640B"/>
    <w:rsid w:val="00BD37DA"/>
    <w:rsid w:val="00BD5D99"/>
    <w:rsid w:val="00BD7935"/>
    <w:rsid w:val="00BD7FF4"/>
    <w:rsid w:val="00BE2D96"/>
    <w:rsid w:val="00BE3799"/>
    <w:rsid w:val="00BE4322"/>
    <w:rsid w:val="00BE4C9F"/>
    <w:rsid w:val="00BE7619"/>
    <w:rsid w:val="00BE7E91"/>
    <w:rsid w:val="00BF270E"/>
    <w:rsid w:val="00BF2BBA"/>
    <w:rsid w:val="00C00AEF"/>
    <w:rsid w:val="00C03EF7"/>
    <w:rsid w:val="00C06966"/>
    <w:rsid w:val="00C10BF5"/>
    <w:rsid w:val="00C11B34"/>
    <w:rsid w:val="00C13125"/>
    <w:rsid w:val="00C135A8"/>
    <w:rsid w:val="00C15A15"/>
    <w:rsid w:val="00C166F4"/>
    <w:rsid w:val="00C21525"/>
    <w:rsid w:val="00C21F94"/>
    <w:rsid w:val="00C24609"/>
    <w:rsid w:val="00C25E1E"/>
    <w:rsid w:val="00C26B08"/>
    <w:rsid w:val="00C411E7"/>
    <w:rsid w:val="00C424F4"/>
    <w:rsid w:val="00C45742"/>
    <w:rsid w:val="00C4741A"/>
    <w:rsid w:val="00C4795C"/>
    <w:rsid w:val="00C47B17"/>
    <w:rsid w:val="00C533E4"/>
    <w:rsid w:val="00C57F96"/>
    <w:rsid w:val="00C63D0B"/>
    <w:rsid w:val="00C65CC0"/>
    <w:rsid w:val="00C66C4F"/>
    <w:rsid w:val="00C674F6"/>
    <w:rsid w:val="00C718FA"/>
    <w:rsid w:val="00C724CD"/>
    <w:rsid w:val="00C72D50"/>
    <w:rsid w:val="00C7513E"/>
    <w:rsid w:val="00C80CB5"/>
    <w:rsid w:val="00C80F70"/>
    <w:rsid w:val="00C842F5"/>
    <w:rsid w:val="00C90D85"/>
    <w:rsid w:val="00C93C36"/>
    <w:rsid w:val="00C97232"/>
    <w:rsid w:val="00CA3E67"/>
    <w:rsid w:val="00CB2307"/>
    <w:rsid w:val="00CB5AA9"/>
    <w:rsid w:val="00CC608B"/>
    <w:rsid w:val="00CD06CC"/>
    <w:rsid w:val="00CD0794"/>
    <w:rsid w:val="00CD2592"/>
    <w:rsid w:val="00CD2A94"/>
    <w:rsid w:val="00CD57EC"/>
    <w:rsid w:val="00CE0A1B"/>
    <w:rsid w:val="00CE2ADE"/>
    <w:rsid w:val="00CF0585"/>
    <w:rsid w:val="00CF3477"/>
    <w:rsid w:val="00CF3E39"/>
    <w:rsid w:val="00CF4303"/>
    <w:rsid w:val="00CF4D93"/>
    <w:rsid w:val="00D00AC0"/>
    <w:rsid w:val="00D01495"/>
    <w:rsid w:val="00D03057"/>
    <w:rsid w:val="00D06094"/>
    <w:rsid w:val="00D1006C"/>
    <w:rsid w:val="00D11801"/>
    <w:rsid w:val="00D14667"/>
    <w:rsid w:val="00D153E0"/>
    <w:rsid w:val="00D16187"/>
    <w:rsid w:val="00D275B5"/>
    <w:rsid w:val="00D32124"/>
    <w:rsid w:val="00D42A6D"/>
    <w:rsid w:val="00D5741F"/>
    <w:rsid w:val="00D63676"/>
    <w:rsid w:val="00D63B13"/>
    <w:rsid w:val="00D6437A"/>
    <w:rsid w:val="00D708B8"/>
    <w:rsid w:val="00D749B5"/>
    <w:rsid w:val="00D776EF"/>
    <w:rsid w:val="00D77A2B"/>
    <w:rsid w:val="00D817DF"/>
    <w:rsid w:val="00D828DF"/>
    <w:rsid w:val="00D8310B"/>
    <w:rsid w:val="00D856A2"/>
    <w:rsid w:val="00D93DC5"/>
    <w:rsid w:val="00D97AFD"/>
    <w:rsid w:val="00D97DD6"/>
    <w:rsid w:val="00DA59F5"/>
    <w:rsid w:val="00DA6B4A"/>
    <w:rsid w:val="00DB1B27"/>
    <w:rsid w:val="00DB50A0"/>
    <w:rsid w:val="00DB6020"/>
    <w:rsid w:val="00DB615D"/>
    <w:rsid w:val="00DB6AED"/>
    <w:rsid w:val="00DD0144"/>
    <w:rsid w:val="00DD045E"/>
    <w:rsid w:val="00DD4125"/>
    <w:rsid w:val="00DD414D"/>
    <w:rsid w:val="00DE3858"/>
    <w:rsid w:val="00DE472D"/>
    <w:rsid w:val="00DE5B76"/>
    <w:rsid w:val="00DE6A89"/>
    <w:rsid w:val="00DE7738"/>
    <w:rsid w:val="00DF0F2F"/>
    <w:rsid w:val="00DF165B"/>
    <w:rsid w:val="00DF3941"/>
    <w:rsid w:val="00DF4A80"/>
    <w:rsid w:val="00E008B2"/>
    <w:rsid w:val="00E0259C"/>
    <w:rsid w:val="00E03671"/>
    <w:rsid w:val="00E05974"/>
    <w:rsid w:val="00E113EF"/>
    <w:rsid w:val="00E11634"/>
    <w:rsid w:val="00E1238B"/>
    <w:rsid w:val="00E15D65"/>
    <w:rsid w:val="00E20416"/>
    <w:rsid w:val="00E211E7"/>
    <w:rsid w:val="00E2176C"/>
    <w:rsid w:val="00E21A5F"/>
    <w:rsid w:val="00E21BC7"/>
    <w:rsid w:val="00E23BBE"/>
    <w:rsid w:val="00E315E5"/>
    <w:rsid w:val="00E31983"/>
    <w:rsid w:val="00E32A43"/>
    <w:rsid w:val="00E4028C"/>
    <w:rsid w:val="00E412FB"/>
    <w:rsid w:val="00E43A4E"/>
    <w:rsid w:val="00E50F72"/>
    <w:rsid w:val="00E51739"/>
    <w:rsid w:val="00E54689"/>
    <w:rsid w:val="00E54812"/>
    <w:rsid w:val="00E57750"/>
    <w:rsid w:val="00E64C83"/>
    <w:rsid w:val="00E66289"/>
    <w:rsid w:val="00E71648"/>
    <w:rsid w:val="00E7320E"/>
    <w:rsid w:val="00E76A92"/>
    <w:rsid w:val="00E77A4D"/>
    <w:rsid w:val="00E77F1D"/>
    <w:rsid w:val="00E83890"/>
    <w:rsid w:val="00E9150D"/>
    <w:rsid w:val="00E97FD9"/>
    <w:rsid w:val="00EA134A"/>
    <w:rsid w:val="00EA2B3D"/>
    <w:rsid w:val="00EA4018"/>
    <w:rsid w:val="00EB1768"/>
    <w:rsid w:val="00EB1989"/>
    <w:rsid w:val="00EB2461"/>
    <w:rsid w:val="00EB335C"/>
    <w:rsid w:val="00EB5AED"/>
    <w:rsid w:val="00EB791F"/>
    <w:rsid w:val="00EC01C1"/>
    <w:rsid w:val="00EC1D30"/>
    <w:rsid w:val="00EC467D"/>
    <w:rsid w:val="00EC503C"/>
    <w:rsid w:val="00EC6CE5"/>
    <w:rsid w:val="00EC737A"/>
    <w:rsid w:val="00EC78BE"/>
    <w:rsid w:val="00EC7C5C"/>
    <w:rsid w:val="00ED0AC6"/>
    <w:rsid w:val="00ED4A75"/>
    <w:rsid w:val="00EE2180"/>
    <w:rsid w:val="00EE2A20"/>
    <w:rsid w:val="00EF1E2A"/>
    <w:rsid w:val="00EF68D8"/>
    <w:rsid w:val="00EF6C2A"/>
    <w:rsid w:val="00F03A34"/>
    <w:rsid w:val="00F10B41"/>
    <w:rsid w:val="00F11946"/>
    <w:rsid w:val="00F23FE2"/>
    <w:rsid w:val="00F247A3"/>
    <w:rsid w:val="00F27484"/>
    <w:rsid w:val="00F27551"/>
    <w:rsid w:val="00F32C36"/>
    <w:rsid w:val="00F36A1B"/>
    <w:rsid w:val="00F37BA3"/>
    <w:rsid w:val="00F37BB3"/>
    <w:rsid w:val="00F41217"/>
    <w:rsid w:val="00F44EE1"/>
    <w:rsid w:val="00F46963"/>
    <w:rsid w:val="00F4745F"/>
    <w:rsid w:val="00F50088"/>
    <w:rsid w:val="00F62147"/>
    <w:rsid w:val="00F628E9"/>
    <w:rsid w:val="00F659D5"/>
    <w:rsid w:val="00F65CB1"/>
    <w:rsid w:val="00F73239"/>
    <w:rsid w:val="00F738A5"/>
    <w:rsid w:val="00F755D5"/>
    <w:rsid w:val="00F75895"/>
    <w:rsid w:val="00F77F19"/>
    <w:rsid w:val="00F837F0"/>
    <w:rsid w:val="00F83FD2"/>
    <w:rsid w:val="00F85654"/>
    <w:rsid w:val="00F860F1"/>
    <w:rsid w:val="00F87293"/>
    <w:rsid w:val="00F87F30"/>
    <w:rsid w:val="00F937CF"/>
    <w:rsid w:val="00FA0E70"/>
    <w:rsid w:val="00FA127D"/>
    <w:rsid w:val="00FA2912"/>
    <w:rsid w:val="00FA4F9A"/>
    <w:rsid w:val="00FA5FAA"/>
    <w:rsid w:val="00FA69EB"/>
    <w:rsid w:val="00FB5596"/>
    <w:rsid w:val="00FB6D2C"/>
    <w:rsid w:val="00FB6FB6"/>
    <w:rsid w:val="00FC12AE"/>
    <w:rsid w:val="00FC48E7"/>
    <w:rsid w:val="00FC51E6"/>
    <w:rsid w:val="00FD4866"/>
    <w:rsid w:val="00FD4A86"/>
    <w:rsid w:val="00FD55CD"/>
    <w:rsid w:val="00FD563B"/>
    <w:rsid w:val="00FD66BC"/>
    <w:rsid w:val="00FD7CF8"/>
    <w:rsid w:val="00FE0C3D"/>
    <w:rsid w:val="00FE12F3"/>
    <w:rsid w:val="00FE2E13"/>
    <w:rsid w:val="00FE474E"/>
    <w:rsid w:val="00FE69CC"/>
    <w:rsid w:val="00FF1288"/>
    <w:rsid w:val="00FF39CA"/>
    <w:rsid w:val="00FF6545"/>
    <w:rsid w:val="00FF7F9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910DC3"/>
  <w15:chartTrackingRefBased/>
  <w15:docId w15:val="{A4DB3075-8A43-4A70-9DD2-CD80C0C43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0A0"/>
    <w:rPr>
      <w:rFonts w:ascii="Arial" w:hAnsi="Arial" w:cs="Arial"/>
      <w:sz w:val="20"/>
    </w:rPr>
  </w:style>
  <w:style w:type="paragraph" w:styleId="Heading1">
    <w:name w:val="heading 1"/>
    <w:basedOn w:val="Normal"/>
    <w:next w:val="Normal"/>
    <w:link w:val="Heading1Char"/>
    <w:uiPriority w:val="9"/>
    <w:qFormat/>
    <w:rsid w:val="00494A89"/>
    <w:pPr>
      <w:outlineLvl w:val="0"/>
    </w:pPr>
    <w:rPr>
      <w:rFonts w:eastAsia="+mn-ea"/>
      <w:color w:val="746340"/>
      <w:kern w:val="24"/>
      <w:sz w:val="40"/>
      <w:szCs w:val="40"/>
    </w:rPr>
  </w:style>
  <w:style w:type="paragraph" w:styleId="Heading2">
    <w:name w:val="heading 2"/>
    <w:basedOn w:val="Normal"/>
    <w:next w:val="Normal"/>
    <w:link w:val="Heading2Char"/>
    <w:uiPriority w:val="9"/>
    <w:unhideWhenUsed/>
    <w:qFormat/>
    <w:rsid w:val="008837AC"/>
    <w:pPr>
      <w:spacing w:before="240"/>
      <w:outlineLvl w:val="1"/>
    </w:pPr>
    <w:rPr>
      <w:b/>
      <w:sz w:val="28"/>
      <w:szCs w:val="24"/>
    </w:rPr>
  </w:style>
  <w:style w:type="paragraph" w:styleId="Heading3">
    <w:name w:val="heading 3"/>
    <w:basedOn w:val="Normal"/>
    <w:next w:val="Normal"/>
    <w:link w:val="Heading3Char"/>
    <w:uiPriority w:val="9"/>
    <w:unhideWhenUsed/>
    <w:qFormat/>
    <w:rsid w:val="003426BF"/>
    <w:pPr>
      <w:keepNext/>
      <w:numPr>
        <w:ilvl w:val="1"/>
        <w:numId w:val="1"/>
      </w:numPr>
      <w:spacing w:before="360" w:after="0" w:line="271" w:lineRule="auto"/>
      <w:outlineLvl w:val="2"/>
    </w:pPr>
    <w:rPr>
      <w:rFonts w:eastAsiaTheme="majorEastAsia"/>
      <w:sz w:val="24"/>
      <w:szCs w:val="24"/>
      <w:lang w:val="en-AU"/>
    </w:rPr>
  </w:style>
  <w:style w:type="paragraph" w:styleId="Heading4">
    <w:name w:val="heading 4"/>
    <w:basedOn w:val="Normal"/>
    <w:next w:val="Normal"/>
    <w:link w:val="Heading4Char"/>
    <w:uiPriority w:val="9"/>
    <w:unhideWhenUsed/>
    <w:qFormat/>
    <w:rsid w:val="00C533E4"/>
    <w:pPr>
      <w:keepNext/>
      <w:numPr>
        <w:ilvl w:val="2"/>
        <w:numId w:val="1"/>
      </w:numPr>
      <w:spacing w:before="200" w:after="0" w:line="276" w:lineRule="auto"/>
      <w:outlineLvl w:val="3"/>
    </w:pPr>
    <w:rPr>
      <w:rFonts w:eastAsiaTheme="majorEastAsia"/>
      <w:i/>
      <w:i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6C08"/>
    <w:pPr>
      <w:spacing w:before="100" w:beforeAutospacing="1" w:after="100" w:afterAutospacing="1" w:line="240" w:lineRule="auto"/>
    </w:pPr>
    <w:rPr>
      <w:rFonts w:ascii="Times New Roman" w:eastAsiaTheme="minorEastAsia" w:hAnsi="Times New Roman" w:cs="Times New Roman"/>
      <w:sz w:val="24"/>
      <w:szCs w:val="24"/>
      <w:lang w:eastAsia="en-NZ"/>
    </w:rPr>
  </w:style>
  <w:style w:type="paragraph" w:styleId="Header">
    <w:name w:val="header"/>
    <w:basedOn w:val="Normal"/>
    <w:link w:val="HeaderChar"/>
    <w:uiPriority w:val="99"/>
    <w:unhideWhenUsed/>
    <w:rsid w:val="00796C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C08"/>
  </w:style>
  <w:style w:type="paragraph" w:styleId="Footer">
    <w:name w:val="footer"/>
    <w:basedOn w:val="Normal"/>
    <w:link w:val="FooterChar"/>
    <w:uiPriority w:val="99"/>
    <w:unhideWhenUsed/>
    <w:rsid w:val="00796C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C08"/>
  </w:style>
  <w:style w:type="character" w:styleId="Hyperlink">
    <w:name w:val="Hyperlink"/>
    <w:basedOn w:val="DefaultParagraphFont"/>
    <w:uiPriority w:val="99"/>
    <w:unhideWhenUsed/>
    <w:rsid w:val="00DD0144"/>
    <w:rPr>
      <w:color w:val="0563C1" w:themeColor="hyperlink"/>
      <w:u w:val="single"/>
    </w:rPr>
  </w:style>
  <w:style w:type="paragraph" w:styleId="ListParagraph">
    <w:name w:val="List Paragraph"/>
    <w:basedOn w:val="Normal"/>
    <w:uiPriority w:val="34"/>
    <w:qFormat/>
    <w:rsid w:val="00DD0144"/>
    <w:pPr>
      <w:spacing w:after="0" w:line="240" w:lineRule="auto"/>
      <w:ind w:left="720"/>
      <w:contextualSpacing/>
    </w:pPr>
    <w:rPr>
      <w:rFonts w:ascii="Times New Roman" w:eastAsiaTheme="minorEastAsia" w:hAnsi="Times New Roman" w:cs="Times New Roman"/>
      <w:sz w:val="24"/>
      <w:szCs w:val="24"/>
      <w:lang w:eastAsia="en-NZ"/>
    </w:rPr>
  </w:style>
  <w:style w:type="character" w:customStyle="1" w:styleId="Heading1Char">
    <w:name w:val="Heading 1 Char"/>
    <w:basedOn w:val="DefaultParagraphFont"/>
    <w:link w:val="Heading1"/>
    <w:uiPriority w:val="9"/>
    <w:rsid w:val="00494A89"/>
    <w:rPr>
      <w:rFonts w:ascii="Arial" w:eastAsia="+mn-ea" w:hAnsi="Arial" w:cs="Arial"/>
      <w:color w:val="000000"/>
      <w:kern w:val="24"/>
      <w:sz w:val="40"/>
      <w:szCs w:val="40"/>
    </w:rPr>
  </w:style>
  <w:style w:type="character" w:customStyle="1" w:styleId="Heading2Char">
    <w:name w:val="Heading 2 Char"/>
    <w:basedOn w:val="DefaultParagraphFont"/>
    <w:link w:val="Heading2"/>
    <w:uiPriority w:val="9"/>
    <w:rsid w:val="008837AC"/>
    <w:rPr>
      <w:rFonts w:ascii="Arial" w:hAnsi="Arial" w:cs="Arial"/>
      <w:b/>
      <w:sz w:val="28"/>
      <w:szCs w:val="24"/>
    </w:rPr>
  </w:style>
  <w:style w:type="paragraph" w:styleId="Title">
    <w:name w:val="Title"/>
    <w:basedOn w:val="NormalWeb"/>
    <w:next w:val="Normal"/>
    <w:link w:val="TitleChar"/>
    <w:uiPriority w:val="10"/>
    <w:qFormat/>
    <w:rsid w:val="00494A89"/>
    <w:pPr>
      <w:spacing w:before="0" w:beforeAutospacing="0" w:after="0" w:afterAutospacing="0"/>
    </w:pPr>
    <w:rPr>
      <w:rFonts w:ascii="Arial" w:eastAsia="+mn-ea" w:hAnsi="Arial" w:cs="Arial"/>
      <w:b/>
      <w:color w:val="A29060"/>
      <w:kern w:val="24"/>
      <w:sz w:val="88"/>
      <w:szCs w:val="88"/>
    </w:rPr>
  </w:style>
  <w:style w:type="character" w:customStyle="1" w:styleId="TitleChar">
    <w:name w:val="Title Char"/>
    <w:basedOn w:val="DefaultParagraphFont"/>
    <w:link w:val="Title"/>
    <w:uiPriority w:val="10"/>
    <w:rsid w:val="00494A89"/>
    <w:rPr>
      <w:rFonts w:ascii="Arial" w:eastAsia="+mn-ea" w:hAnsi="Arial" w:cs="Arial"/>
      <w:b/>
      <w:color w:val="A29060"/>
      <w:kern w:val="24"/>
      <w:sz w:val="88"/>
      <w:szCs w:val="88"/>
      <w:lang w:eastAsia="en-NZ"/>
    </w:rPr>
  </w:style>
  <w:style w:type="character" w:customStyle="1" w:styleId="Heading3Char">
    <w:name w:val="Heading 3 Char"/>
    <w:basedOn w:val="DefaultParagraphFont"/>
    <w:link w:val="Heading3"/>
    <w:uiPriority w:val="9"/>
    <w:rsid w:val="003426BF"/>
    <w:rPr>
      <w:rFonts w:ascii="Arial" w:eastAsiaTheme="majorEastAsia" w:hAnsi="Arial" w:cs="Arial"/>
      <w:sz w:val="24"/>
      <w:szCs w:val="24"/>
      <w:lang w:val="en-AU"/>
    </w:rPr>
  </w:style>
  <w:style w:type="character" w:customStyle="1" w:styleId="Heading4Char">
    <w:name w:val="Heading 4 Char"/>
    <w:basedOn w:val="DefaultParagraphFont"/>
    <w:link w:val="Heading4"/>
    <w:uiPriority w:val="9"/>
    <w:rsid w:val="00C533E4"/>
    <w:rPr>
      <w:rFonts w:ascii="Arial" w:eastAsiaTheme="majorEastAsia" w:hAnsi="Arial" w:cs="Arial"/>
      <w:i/>
      <w:iCs/>
      <w:sz w:val="20"/>
      <w:lang w:val="en-AU"/>
    </w:rPr>
  </w:style>
  <w:style w:type="table" w:styleId="TableGrid">
    <w:name w:val="Table Grid"/>
    <w:basedOn w:val="TableNormal"/>
    <w:uiPriority w:val="59"/>
    <w:rsid w:val="00557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06BB"/>
    <w:pPr>
      <w:spacing w:after="0" w:line="240" w:lineRule="auto"/>
    </w:pPr>
    <w:rPr>
      <w:rFonts w:ascii="Lucida Grande" w:eastAsia="MS Mincho" w:hAnsi="Lucida Grande" w:cs="Lucida Grande"/>
      <w:sz w:val="18"/>
      <w:szCs w:val="18"/>
      <w:lang w:val="en-AU"/>
    </w:rPr>
  </w:style>
  <w:style w:type="character" w:customStyle="1" w:styleId="BalloonTextChar">
    <w:name w:val="Balloon Text Char"/>
    <w:basedOn w:val="DefaultParagraphFont"/>
    <w:link w:val="BalloonText"/>
    <w:uiPriority w:val="99"/>
    <w:semiHidden/>
    <w:rsid w:val="003F06BB"/>
    <w:rPr>
      <w:rFonts w:ascii="Lucida Grande" w:eastAsia="MS Mincho" w:hAnsi="Lucida Grande" w:cs="Lucida Grande"/>
      <w:sz w:val="18"/>
      <w:szCs w:val="18"/>
      <w:lang w:val="en-AU"/>
    </w:rPr>
  </w:style>
  <w:style w:type="character" w:styleId="CommentReference">
    <w:name w:val="annotation reference"/>
    <w:basedOn w:val="DefaultParagraphFont"/>
    <w:uiPriority w:val="99"/>
    <w:semiHidden/>
    <w:unhideWhenUsed/>
    <w:rsid w:val="003F06BB"/>
    <w:rPr>
      <w:sz w:val="16"/>
      <w:szCs w:val="16"/>
    </w:rPr>
  </w:style>
  <w:style w:type="paragraph" w:styleId="CommentText">
    <w:name w:val="annotation text"/>
    <w:basedOn w:val="Normal"/>
    <w:link w:val="CommentTextChar"/>
    <w:uiPriority w:val="99"/>
    <w:unhideWhenUsed/>
    <w:rsid w:val="003F06BB"/>
    <w:pPr>
      <w:spacing w:after="0" w:line="240" w:lineRule="auto"/>
    </w:pPr>
    <w:rPr>
      <w:rFonts w:ascii="Calibri" w:eastAsia="MS Mincho" w:hAnsi="Calibri" w:cs="Times New Roman"/>
      <w:szCs w:val="20"/>
      <w:lang w:val="en-AU"/>
    </w:rPr>
  </w:style>
  <w:style w:type="character" w:customStyle="1" w:styleId="CommentTextChar">
    <w:name w:val="Comment Text Char"/>
    <w:basedOn w:val="DefaultParagraphFont"/>
    <w:link w:val="CommentText"/>
    <w:uiPriority w:val="99"/>
    <w:rsid w:val="003F06BB"/>
    <w:rPr>
      <w:rFonts w:ascii="Calibri" w:eastAsia="MS Mincho" w:hAnsi="Calibri" w:cs="Times New Roman"/>
      <w:sz w:val="20"/>
      <w:szCs w:val="20"/>
      <w:lang w:val="en-AU"/>
    </w:rPr>
  </w:style>
  <w:style w:type="paragraph" w:styleId="FootnoteText">
    <w:name w:val="footnote text"/>
    <w:basedOn w:val="Normal"/>
    <w:link w:val="FootnoteTextChar"/>
    <w:uiPriority w:val="99"/>
    <w:unhideWhenUsed/>
    <w:rsid w:val="003F06BB"/>
    <w:pPr>
      <w:snapToGrid w:val="0"/>
      <w:spacing w:after="0" w:line="240" w:lineRule="auto"/>
    </w:pPr>
    <w:rPr>
      <w:rFonts w:ascii="Calibri" w:eastAsia="MS Mincho" w:hAnsi="Calibri" w:cs="Times New Roman"/>
      <w:lang w:val="en-AU"/>
    </w:rPr>
  </w:style>
  <w:style w:type="character" w:customStyle="1" w:styleId="FootnoteTextChar">
    <w:name w:val="Footnote Text Char"/>
    <w:basedOn w:val="DefaultParagraphFont"/>
    <w:link w:val="FootnoteText"/>
    <w:uiPriority w:val="99"/>
    <w:rsid w:val="003F06BB"/>
    <w:rPr>
      <w:rFonts w:ascii="Calibri" w:eastAsia="MS Mincho" w:hAnsi="Calibri" w:cs="Times New Roman"/>
      <w:lang w:val="en-AU"/>
    </w:rPr>
  </w:style>
  <w:style w:type="character" w:styleId="FootnoteReference">
    <w:name w:val="footnote reference"/>
    <w:basedOn w:val="DefaultParagraphFont"/>
    <w:uiPriority w:val="99"/>
    <w:unhideWhenUsed/>
    <w:rsid w:val="003F06BB"/>
    <w:rPr>
      <w:vertAlign w:val="superscript"/>
    </w:rPr>
  </w:style>
  <w:style w:type="paragraph" w:styleId="CommentSubject">
    <w:name w:val="annotation subject"/>
    <w:basedOn w:val="CommentText"/>
    <w:next w:val="CommentText"/>
    <w:link w:val="CommentSubjectChar"/>
    <w:uiPriority w:val="99"/>
    <w:semiHidden/>
    <w:unhideWhenUsed/>
    <w:rsid w:val="003F06BB"/>
    <w:rPr>
      <w:b/>
      <w:bCs/>
      <w:lang w:eastAsia="en-NZ"/>
    </w:rPr>
  </w:style>
  <w:style w:type="character" w:customStyle="1" w:styleId="CommentSubjectChar">
    <w:name w:val="Comment Subject Char"/>
    <w:basedOn w:val="CommentTextChar"/>
    <w:link w:val="CommentSubject"/>
    <w:uiPriority w:val="99"/>
    <w:semiHidden/>
    <w:rsid w:val="003F06BB"/>
    <w:rPr>
      <w:rFonts w:ascii="Calibri" w:eastAsia="MS Mincho" w:hAnsi="Calibri" w:cs="Times New Roman"/>
      <w:b/>
      <w:bCs/>
      <w:sz w:val="20"/>
      <w:szCs w:val="20"/>
      <w:lang w:val="en-AU" w:eastAsia="en-NZ"/>
    </w:rPr>
  </w:style>
  <w:style w:type="character" w:styleId="PageNumber">
    <w:name w:val="page number"/>
    <w:basedOn w:val="DefaultParagraphFont"/>
    <w:uiPriority w:val="99"/>
    <w:semiHidden/>
    <w:unhideWhenUsed/>
    <w:rsid w:val="003F06BB"/>
  </w:style>
  <w:style w:type="paragraph" w:customStyle="1" w:styleId="Questiontext">
    <w:name w:val="Question text"/>
    <w:basedOn w:val="Normal"/>
    <w:qFormat/>
    <w:rsid w:val="003F06BB"/>
    <w:pPr>
      <w:widowControl w:val="0"/>
      <w:autoSpaceDE w:val="0"/>
      <w:autoSpaceDN w:val="0"/>
      <w:adjustRightInd w:val="0"/>
      <w:spacing w:before="400" w:after="120" w:line="240" w:lineRule="auto"/>
    </w:pPr>
    <w:rPr>
      <w:rFonts w:asciiTheme="minorHAnsi" w:eastAsiaTheme="minorEastAsia" w:hAnsiTheme="minorHAnsi" w:cs="Times New Roman"/>
      <w:b/>
      <w:color w:val="000000"/>
      <w:szCs w:val="20"/>
      <w:lang w:val="en-AU" w:eastAsia="en-NZ"/>
    </w:rPr>
  </w:style>
  <w:style w:type="paragraph" w:styleId="TOCHeading">
    <w:name w:val="TOC Heading"/>
    <w:basedOn w:val="Heading1"/>
    <w:next w:val="Normal"/>
    <w:uiPriority w:val="39"/>
    <w:unhideWhenUsed/>
    <w:qFormat/>
    <w:rsid w:val="003F06BB"/>
    <w:pPr>
      <w:keepNext/>
      <w:keepLines/>
      <w:spacing w:before="240" w:after="0"/>
      <w:outlineLvl w:val="9"/>
    </w:pPr>
    <w:rPr>
      <w:rFonts w:asciiTheme="majorHAnsi" w:eastAsiaTheme="majorEastAsia" w:hAnsiTheme="majorHAnsi" w:cstheme="majorBidi"/>
      <w:color w:val="2E74B5" w:themeColor="accent1" w:themeShade="BF"/>
      <w:kern w:val="0"/>
      <w:sz w:val="32"/>
      <w:szCs w:val="32"/>
      <w:lang w:val="en-US"/>
    </w:rPr>
  </w:style>
  <w:style w:type="paragraph" w:styleId="TOC2">
    <w:name w:val="toc 2"/>
    <w:basedOn w:val="Normal"/>
    <w:next w:val="Normal"/>
    <w:autoRedefine/>
    <w:uiPriority w:val="39"/>
    <w:unhideWhenUsed/>
    <w:rsid w:val="003F06BB"/>
    <w:pPr>
      <w:spacing w:after="100"/>
      <w:ind w:left="220"/>
    </w:pPr>
    <w:rPr>
      <w:rFonts w:asciiTheme="minorHAnsi" w:eastAsiaTheme="minorEastAsia" w:hAnsiTheme="minorHAnsi" w:cs="Times New Roman"/>
      <w:lang w:val="en-US"/>
    </w:rPr>
  </w:style>
  <w:style w:type="paragraph" w:styleId="TOC1">
    <w:name w:val="toc 1"/>
    <w:basedOn w:val="Normal"/>
    <w:next w:val="Normal"/>
    <w:autoRedefine/>
    <w:uiPriority w:val="39"/>
    <w:unhideWhenUsed/>
    <w:rsid w:val="003F49EE"/>
    <w:pPr>
      <w:spacing w:after="100"/>
    </w:pPr>
    <w:rPr>
      <w:rFonts w:asciiTheme="minorHAnsi" w:eastAsiaTheme="minorEastAsia" w:hAnsiTheme="minorHAnsi" w:cs="Times New Roman"/>
      <w:b/>
      <w:lang w:val="en-US"/>
    </w:rPr>
  </w:style>
  <w:style w:type="paragraph" w:styleId="TOC3">
    <w:name w:val="toc 3"/>
    <w:basedOn w:val="Normal"/>
    <w:next w:val="Normal"/>
    <w:autoRedefine/>
    <w:uiPriority w:val="39"/>
    <w:unhideWhenUsed/>
    <w:rsid w:val="003F06BB"/>
    <w:pPr>
      <w:spacing w:after="100"/>
      <w:ind w:left="440"/>
    </w:pPr>
    <w:rPr>
      <w:rFonts w:asciiTheme="minorHAnsi" w:eastAsiaTheme="minorEastAsia" w:hAnsiTheme="minorHAnsi" w:cs="Times New Roman"/>
      <w:lang w:val="en-US"/>
    </w:rPr>
  </w:style>
  <w:style w:type="paragraph" w:styleId="DocumentMap">
    <w:name w:val="Document Map"/>
    <w:basedOn w:val="Normal"/>
    <w:link w:val="DocumentMapChar"/>
    <w:uiPriority w:val="99"/>
    <w:semiHidden/>
    <w:unhideWhenUsed/>
    <w:rsid w:val="003F06BB"/>
    <w:pPr>
      <w:spacing w:after="0" w:line="240" w:lineRule="auto"/>
    </w:pPr>
    <w:rPr>
      <w:rFonts w:ascii="Lucida Grande" w:eastAsia="MS Mincho" w:hAnsi="Lucida Grande" w:cs="Lucida Grande"/>
      <w:sz w:val="24"/>
      <w:szCs w:val="24"/>
      <w:lang w:val="en-AU"/>
    </w:rPr>
  </w:style>
  <w:style w:type="character" w:customStyle="1" w:styleId="DocumentMapChar">
    <w:name w:val="Document Map Char"/>
    <w:basedOn w:val="DefaultParagraphFont"/>
    <w:link w:val="DocumentMap"/>
    <w:uiPriority w:val="99"/>
    <w:semiHidden/>
    <w:rsid w:val="003F06BB"/>
    <w:rPr>
      <w:rFonts w:ascii="Lucida Grande" w:eastAsia="MS Mincho" w:hAnsi="Lucida Grande" w:cs="Lucida Grande"/>
      <w:sz w:val="24"/>
      <w:szCs w:val="24"/>
      <w:lang w:val="en-AU"/>
    </w:rPr>
  </w:style>
  <w:style w:type="character" w:styleId="FollowedHyperlink">
    <w:name w:val="FollowedHyperlink"/>
    <w:basedOn w:val="DefaultParagraphFont"/>
    <w:uiPriority w:val="99"/>
    <w:semiHidden/>
    <w:unhideWhenUsed/>
    <w:rsid w:val="003F06BB"/>
    <w:rPr>
      <w:color w:val="954F72" w:themeColor="followedHyperlink"/>
      <w:u w:val="single"/>
    </w:rPr>
  </w:style>
  <w:style w:type="numbering" w:customStyle="1" w:styleId="NoList1">
    <w:name w:val="No List1"/>
    <w:next w:val="NoList"/>
    <w:uiPriority w:val="99"/>
    <w:semiHidden/>
    <w:unhideWhenUsed/>
    <w:rsid w:val="00865019"/>
  </w:style>
  <w:style w:type="table" w:customStyle="1" w:styleId="TableGrid1">
    <w:name w:val="Table Grid1"/>
    <w:basedOn w:val="TableNormal"/>
    <w:next w:val="TableGrid"/>
    <w:uiPriority w:val="59"/>
    <w:rsid w:val="0086501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D563B"/>
    <w:pPr>
      <w:keepNext/>
      <w:spacing w:after="200" w:line="240" w:lineRule="auto"/>
    </w:pPr>
    <w:rPr>
      <w:b/>
      <w:iCs/>
      <w:sz w:val="18"/>
      <w:szCs w:val="18"/>
    </w:rPr>
  </w:style>
  <w:style w:type="paragraph" w:styleId="TOC4">
    <w:name w:val="toc 4"/>
    <w:basedOn w:val="Normal"/>
    <w:next w:val="Normal"/>
    <w:autoRedefine/>
    <w:uiPriority w:val="39"/>
    <w:semiHidden/>
    <w:unhideWhenUsed/>
    <w:rsid w:val="003F49EE"/>
    <w:pPr>
      <w:spacing w:after="100"/>
      <w:ind w:left="600"/>
    </w:pPr>
  </w:style>
  <w:style w:type="character" w:customStyle="1" w:styleId="apple-converted-space">
    <w:name w:val="apple-converted-space"/>
    <w:basedOn w:val="DefaultParagraphFont"/>
    <w:rsid w:val="00392D94"/>
  </w:style>
  <w:style w:type="paragraph" w:customStyle="1" w:styleId="ThesisTableText">
    <w:name w:val="Thesis Table Text"/>
    <w:basedOn w:val="Normal"/>
    <w:qFormat/>
    <w:rsid w:val="00A92532"/>
    <w:pPr>
      <w:spacing w:after="0" w:line="240" w:lineRule="auto"/>
    </w:pPr>
    <w:rPr>
      <w:rFonts w:eastAsia="Times New Roman" w:cs="Times New Roman"/>
      <w:lang w:bidi="en-US"/>
    </w:rPr>
  </w:style>
  <w:style w:type="paragraph" w:styleId="BodyTextIndent">
    <w:name w:val="Body Text Indent"/>
    <w:basedOn w:val="Normal"/>
    <w:link w:val="BodyTextIndentChar"/>
    <w:uiPriority w:val="99"/>
    <w:semiHidden/>
    <w:unhideWhenUsed/>
    <w:rsid w:val="00280235"/>
    <w:pPr>
      <w:spacing w:after="0" w:line="240" w:lineRule="auto"/>
      <w:ind w:left="741" w:hanging="741"/>
    </w:pPr>
    <w:rPr>
      <w:rFonts w:ascii="Arial Mäori" w:hAnsi="Arial Mäori" w:cs="Times New Roman"/>
      <w:color w:val="000000"/>
      <w:sz w:val="22"/>
    </w:rPr>
  </w:style>
  <w:style w:type="character" w:customStyle="1" w:styleId="BodyTextIndentChar">
    <w:name w:val="Body Text Indent Char"/>
    <w:basedOn w:val="DefaultParagraphFont"/>
    <w:link w:val="BodyTextIndent"/>
    <w:uiPriority w:val="99"/>
    <w:semiHidden/>
    <w:rsid w:val="00280235"/>
    <w:rPr>
      <w:rFonts w:ascii="Arial Mäori" w:hAnsi="Arial Mäori" w:cs="Times New Roman"/>
      <w:color w:val="000000"/>
    </w:rPr>
  </w:style>
  <w:style w:type="character" w:customStyle="1" w:styleId="slug-doi">
    <w:name w:val="slug-doi"/>
    <w:basedOn w:val="DefaultParagraphFont"/>
    <w:rsid w:val="00A40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9483">
      <w:bodyDiv w:val="1"/>
      <w:marLeft w:val="0"/>
      <w:marRight w:val="0"/>
      <w:marTop w:val="0"/>
      <w:marBottom w:val="0"/>
      <w:divBdr>
        <w:top w:val="none" w:sz="0" w:space="0" w:color="auto"/>
        <w:left w:val="none" w:sz="0" w:space="0" w:color="auto"/>
        <w:bottom w:val="none" w:sz="0" w:space="0" w:color="auto"/>
        <w:right w:val="none" w:sz="0" w:space="0" w:color="auto"/>
      </w:divBdr>
    </w:div>
    <w:div w:id="321931168">
      <w:bodyDiv w:val="1"/>
      <w:marLeft w:val="0"/>
      <w:marRight w:val="0"/>
      <w:marTop w:val="0"/>
      <w:marBottom w:val="0"/>
      <w:divBdr>
        <w:top w:val="none" w:sz="0" w:space="0" w:color="auto"/>
        <w:left w:val="none" w:sz="0" w:space="0" w:color="auto"/>
        <w:bottom w:val="none" w:sz="0" w:space="0" w:color="auto"/>
        <w:right w:val="none" w:sz="0" w:space="0" w:color="auto"/>
      </w:divBdr>
    </w:div>
    <w:div w:id="485704353">
      <w:bodyDiv w:val="1"/>
      <w:marLeft w:val="0"/>
      <w:marRight w:val="0"/>
      <w:marTop w:val="0"/>
      <w:marBottom w:val="0"/>
      <w:divBdr>
        <w:top w:val="none" w:sz="0" w:space="0" w:color="auto"/>
        <w:left w:val="none" w:sz="0" w:space="0" w:color="auto"/>
        <w:bottom w:val="none" w:sz="0" w:space="0" w:color="auto"/>
        <w:right w:val="none" w:sz="0" w:space="0" w:color="auto"/>
      </w:divBdr>
    </w:div>
    <w:div w:id="518589125">
      <w:bodyDiv w:val="1"/>
      <w:marLeft w:val="0"/>
      <w:marRight w:val="0"/>
      <w:marTop w:val="0"/>
      <w:marBottom w:val="0"/>
      <w:divBdr>
        <w:top w:val="none" w:sz="0" w:space="0" w:color="auto"/>
        <w:left w:val="none" w:sz="0" w:space="0" w:color="auto"/>
        <w:bottom w:val="none" w:sz="0" w:space="0" w:color="auto"/>
        <w:right w:val="none" w:sz="0" w:space="0" w:color="auto"/>
      </w:divBdr>
    </w:div>
    <w:div w:id="606890150">
      <w:bodyDiv w:val="1"/>
      <w:marLeft w:val="0"/>
      <w:marRight w:val="0"/>
      <w:marTop w:val="0"/>
      <w:marBottom w:val="0"/>
      <w:divBdr>
        <w:top w:val="none" w:sz="0" w:space="0" w:color="auto"/>
        <w:left w:val="none" w:sz="0" w:space="0" w:color="auto"/>
        <w:bottom w:val="none" w:sz="0" w:space="0" w:color="auto"/>
        <w:right w:val="none" w:sz="0" w:space="0" w:color="auto"/>
      </w:divBdr>
    </w:div>
    <w:div w:id="883255351">
      <w:bodyDiv w:val="1"/>
      <w:marLeft w:val="0"/>
      <w:marRight w:val="0"/>
      <w:marTop w:val="0"/>
      <w:marBottom w:val="0"/>
      <w:divBdr>
        <w:top w:val="none" w:sz="0" w:space="0" w:color="auto"/>
        <w:left w:val="none" w:sz="0" w:space="0" w:color="auto"/>
        <w:bottom w:val="none" w:sz="0" w:space="0" w:color="auto"/>
        <w:right w:val="none" w:sz="0" w:space="0" w:color="auto"/>
      </w:divBdr>
    </w:div>
    <w:div w:id="1037320665">
      <w:bodyDiv w:val="1"/>
      <w:marLeft w:val="0"/>
      <w:marRight w:val="0"/>
      <w:marTop w:val="0"/>
      <w:marBottom w:val="0"/>
      <w:divBdr>
        <w:top w:val="none" w:sz="0" w:space="0" w:color="auto"/>
        <w:left w:val="none" w:sz="0" w:space="0" w:color="auto"/>
        <w:bottom w:val="none" w:sz="0" w:space="0" w:color="auto"/>
        <w:right w:val="none" w:sz="0" w:space="0" w:color="auto"/>
      </w:divBdr>
    </w:div>
    <w:div w:id="1070419053">
      <w:bodyDiv w:val="1"/>
      <w:marLeft w:val="0"/>
      <w:marRight w:val="0"/>
      <w:marTop w:val="0"/>
      <w:marBottom w:val="0"/>
      <w:divBdr>
        <w:top w:val="none" w:sz="0" w:space="0" w:color="auto"/>
        <w:left w:val="none" w:sz="0" w:space="0" w:color="auto"/>
        <w:bottom w:val="none" w:sz="0" w:space="0" w:color="auto"/>
        <w:right w:val="none" w:sz="0" w:space="0" w:color="auto"/>
      </w:divBdr>
    </w:div>
    <w:div w:id="1074937843">
      <w:bodyDiv w:val="1"/>
      <w:marLeft w:val="0"/>
      <w:marRight w:val="0"/>
      <w:marTop w:val="0"/>
      <w:marBottom w:val="0"/>
      <w:divBdr>
        <w:top w:val="none" w:sz="0" w:space="0" w:color="auto"/>
        <w:left w:val="none" w:sz="0" w:space="0" w:color="auto"/>
        <w:bottom w:val="none" w:sz="0" w:space="0" w:color="auto"/>
        <w:right w:val="none" w:sz="0" w:space="0" w:color="auto"/>
      </w:divBdr>
      <w:divsChild>
        <w:div w:id="444159354">
          <w:marLeft w:val="0"/>
          <w:marRight w:val="0"/>
          <w:marTop w:val="111"/>
          <w:marBottom w:val="111"/>
          <w:divBdr>
            <w:top w:val="none" w:sz="0" w:space="0" w:color="auto"/>
            <w:left w:val="none" w:sz="0" w:space="0" w:color="auto"/>
            <w:bottom w:val="none" w:sz="0" w:space="0" w:color="auto"/>
            <w:right w:val="none" w:sz="0" w:space="0" w:color="auto"/>
          </w:divBdr>
        </w:div>
        <w:div w:id="1429810472">
          <w:marLeft w:val="0"/>
          <w:marRight w:val="0"/>
          <w:marTop w:val="111"/>
          <w:marBottom w:val="111"/>
          <w:divBdr>
            <w:top w:val="none" w:sz="0" w:space="0" w:color="auto"/>
            <w:left w:val="none" w:sz="0" w:space="0" w:color="auto"/>
            <w:bottom w:val="none" w:sz="0" w:space="0" w:color="auto"/>
            <w:right w:val="none" w:sz="0" w:space="0" w:color="auto"/>
          </w:divBdr>
        </w:div>
        <w:div w:id="2086344118">
          <w:marLeft w:val="0"/>
          <w:marRight w:val="0"/>
          <w:marTop w:val="111"/>
          <w:marBottom w:val="0"/>
          <w:divBdr>
            <w:top w:val="none" w:sz="0" w:space="0" w:color="auto"/>
            <w:left w:val="none" w:sz="0" w:space="0" w:color="auto"/>
            <w:bottom w:val="none" w:sz="0" w:space="0" w:color="auto"/>
            <w:right w:val="none" w:sz="0" w:space="0" w:color="auto"/>
          </w:divBdr>
        </w:div>
        <w:div w:id="1439524700">
          <w:marLeft w:val="0"/>
          <w:marRight w:val="0"/>
          <w:marTop w:val="111"/>
          <w:marBottom w:val="111"/>
          <w:divBdr>
            <w:top w:val="none" w:sz="0" w:space="0" w:color="auto"/>
            <w:left w:val="none" w:sz="0" w:space="0" w:color="auto"/>
            <w:bottom w:val="none" w:sz="0" w:space="0" w:color="auto"/>
            <w:right w:val="none" w:sz="0" w:space="0" w:color="auto"/>
          </w:divBdr>
        </w:div>
        <w:div w:id="1330867583">
          <w:marLeft w:val="0"/>
          <w:marRight w:val="0"/>
          <w:marTop w:val="111"/>
          <w:marBottom w:val="111"/>
          <w:divBdr>
            <w:top w:val="none" w:sz="0" w:space="0" w:color="auto"/>
            <w:left w:val="none" w:sz="0" w:space="0" w:color="auto"/>
            <w:bottom w:val="none" w:sz="0" w:space="0" w:color="auto"/>
            <w:right w:val="none" w:sz="0" w:space="0" w:color="auto"/>
          </w:divBdr>
        </w:div>
      </w:divsChild>
    </w:div>
    <w:div w:id="1448309021">
      <w:bodyDiv w:val="1"/>
      <w:marLeft w:val="0"/>
      <w:marRight w:val="0"/>
      <w:marTop w:val="0"/>
      <w:marBottom w:val="0"/>
      <w:divBdr>
        <w:top w:val="none" w:sz="0" w:space="0" w:color="auto"/>
        <w:left w:val="none" w:sz="0" w:space="0" w:color="auto"/>
        <w:bottom w:val="none" w:sz="0" w:space="0" w:color="auto"/>
        <w:right w:val="none" w:sz="0" w:space="0" w:color="auto"/>
      </w:divBdr>
      <w:divsChild>
        <w:div w:id="1170170265">
          <w:marLeft w:val="0"/>
          <w:marRight w:val="0"/>
          <w:marTop w:val="111"/>
          <w:marBottom w:val="0"/>
          <w:divBdr>
            <w:top w:val="none" w:sz="0" w:space="0" w:color="auto"/>
            <w:left w:val="none" w:sz="0" w:space="0" w:color="auto"/>
            <w:bottom w:val="none" w:sz="0" w:space="0" w:color="auto"/>
            <w:right w:val="none" w:sz="0" w:space="0" w:color="auto"/>
          </w:divBdr>
        </w:div>
      </w:divsChild>
    </w:div>
    <w:div w:id="1553343108">
      <w:bodyDiv w:val="1"/>
      <w:marLeft w:val="0"/>
      <w:marRight w:val="0"/>
      <w:marTop w:val="0"/>
      <w:marBottom w:val="0"/>
      <w:divBdr>
        <w:top w:val="none" w:sz="0" w:space="0" w:color="auto"/>
        <w:left w:val="none" w:sz="0" w:space="0" w:color="auto"/>
        <w:bottom w:val="none" w:sz="0" w:space="0" w:color="auto"/>
        <w:right w:val="none" w:sz="0" w:space="0" w:color="auto"/>
      </w:divBdr>
    </w:div>
    <w:div w:id="206729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002F1-4D9B-4BCF-A58D-6EA4E98C1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8973</Words>
  <Characters>51147</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Company>AUT University</Company>
  <LinksUpToDate>false</LinksUpToDate>
  <CharactersWithSpaces>60001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Mackay</dc:creator>
  <cp:keywords/>
  <dc:description/>
  <cp:lastModifiedBy>ajarden</cp:lastModifiedBy>
  <cp:revision>2</cp:revision>
  <cp:lastPrinted>2016-02-28T20:41:00Z</cp:lastPrinted>
  <dcterms:created xsi:type="dcterms:W3CDTF">2016-04-26T02:33:00Z</dcterms:created>
  <dcterms:modified xsi:type="dcterms:W3CDTF">2016-04-26T02:33:00Z</dcterms:modified>
</cp:coreProperties>
</file>